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4654C" w14:textId="77777777" w:rsidR="00E864AB" w:rsidRPr="00D55943" w:rsidRDefault="00E864AB" w:rsidP="00E864AB">
      <w:pPr>
        <w:spacing w:after="80" w:line="240" w:lineRule="auto"/>
        <w:jc w:val="both"/>
        <w:outlineLvl w:val="1"/>
        <w:rPr>
          <w:rFonts w:ascii="Calibri" w:eastAsia="Times New Roman" w:hAnsi="Calibri" w:cs="Calibri"/>
          <w:color w:val="000000"/>
          <w:kern w:val="0"/>
          <w:sz w:val="24"/>
          <w:szCs w:val="24"/>
          <w:lang w:val="id-ID"/>
          <w14:ligatures w14:val="none"/>
        </w:rPr>
      </w:pPr>
    </w:p>
    <w:p w14:paraId="4FDEFC91" w14:textId="77777777" w:rsidR="00356482" w:rsidRPr="006B0B82" w:rsidRDefault="009908BE" w:rsidP="00356482">
      <w:pPr>
        <w:spacing w:after="0" w:line="240" w:lineRule="auto"/>
        <w:jc w:val="center"/>
        <w:textAlignment w:val="baseline"/>
        <w:rPr>
          <w:rFonts w:ascii="Calibri" w:eastAsia="Times New Roman" w:hAnsi="Calibri" w:cs="Calibri"/>
          <w:b/>
          <w:bCs/>
          <w:color w:val="000000"/>
          <w:kern w:val="0"/>
          <w:sz w:val="28"/>
          <w:szCs w:val="28"/>
          <w:lang w:val="id-ID"/>
          <w14:ligatures w14:val="none"/>
        </w:rPr>
      </w:pPr>
      <w:r w:rsidRPr="006B0B82">
        <w:rPr>
          <w:rFonts w:ascii="Calibri" w:eastAsia="Times New Roman" w:hAnsi="Calibri" w:cs="Calibri"/>
          <w:b/>
          <w:bCs/>
          <w:color w:val="000000"/>
          <w:kern w:val="0"/>
          <w:sz w:val="28"/>
          <w:szCs w:val="28"/>
          <w:lang w:val="id-ID"/>
          <w14:ligatures w14:val="none"/>
        </w:rPr>
        <w:t xml:space="preserve">Dibayangi Ketidakpastian Global, </w:t>
      </w:r>
    </w:p>
    <w:p w14:paraId="75218B9B" w14:textId="3635FAB0" w:rsidR="009908BE" w:rsidRPr="006B0B82" w:rsidRDefault="009908BE" w:rsidP="00356482">
      <w:pPr>
        <w:spacing w:after="0" w:line="240" w:lineRule="auto"/>
        <w:ind w:left="720"/>
        <w:jc w:val="center"/>
        <w:textAlignment w:val="baseline"/>
        <w:rPr>
          <w:rFonts w:ascii="Calibri" w:eastAsia="Times New Roman" w:hAnsi="Calibri" w:cs="Calibri"/>
          <w:b/>
          <w:bCs/>
          <w:color w:val="000000"/>
          <w:kern w:val="0"/>
          <w:sz w:val="28"/>
          <w:szCs w:val="28"/>
          <w:lang w:val="id-ID"/>
          <w14:ligatures w14:val="none"/>
        </w:rPr>
      </w:pPr>
      <w:r w:rsidRPr="006B0B82">
        <w:rPr>
          <w:rFonts w:ascii="Calibri" w:eastAsia="Times New Roman" w:hAnsi="Calibri" w:cs="Calibri"/>
          <w:b/>
          <w:bCs/>
          <w:color w:val="000000"/>
          <w:kern w:val="0"/>
          <w:sz w:val="28"/>
          <w:szCs w:val="28"/>
          <w:lang w:val="id-ID"/>
          <w14:ligatures w14:val="none"/>
        </w:rPr>
        <w:t>Ekonomi Indonesia Berpeluang Tumbuh di Atas 5%</w:t>
      </w:r>
    </w:p>
    <w:p w14:paraId="22F5BDEF" w14:textId="08636968" w:rsidR="009908BE" w:rsidRPr="006B0B82" w:rsidRDefault="009908BE" w:rsidP="009908BE">
      <w:pPr>
        <w:spacing w:after="0" w:line="240" w:lineRule="auto"/>
        <w:rPr>
          <w:rFonts w:ascii="Calibri" w:eastAsia="Times New Roman" w:hAnsi="Calibri" w:cs="Calibri"/>
          <w:kern w:val="0"/>
          <w:sz w:val="24"/>
          <w:szCs w:val="24"/>
          <w:lang w:val="id-ID"/>
          <w14:ligatures w14:val="none"/>
        </w:rPr>
      </w:pPr>
    </w:p>
    <w:p w14:paraId="515E2705" w14:textId="6DD63378" w:rsidR="00D55943" w:rsidRPr="006B0B82" w:rsidRDefault="009908BE" w:rsidP="009908BE">
      <w:pPr>
        <w:spacing w:before="240" w:after="240" w:line="240" w:lineRule="auto"/>
        <w:jc w:val="both"/>
        <w:rPr>
          <w:rFonts w:ascii="Calibri" w:eastAsia="Times New Roman" w:hAnsi="Calibri" w:cs="Calibri"/>
          <w:color w:val="000000"/>
          <w:kern w:val="0"/>
          <w:sz w:val="24"/>
          <w:szCs w:val="24"/>
          <w:lang w:val="id-ID"/>
          <w14:ligatures w14:val="none"/>
        </w:rPr>
      </w:pPr>
      <w:r w:rsidRPr="006B0B82">
        <w:rPr>
          <w:rFonts w:ascii="Calibri" w:eastAsia="Times New Roman" w:hAnsi="Calibri" w:cs="Calibri"/>
          <w:b/>
          <w:bCs/>
          <w:color w:val="000000"/>
          <w:kern w:val="0"/>
          <w:sz w:val="24"/>
          <w:szCs w:val="24"/>
          <w:lang w:val="id-ID"/>
          <w14:ligatures w14:val="none"/>
        </w:rPr>
        <w:t xml:space="preserve">Jakarta </w:t>
      </w:r>
      <w:r w:rsidR="00D55943" w:rsidRPr="006B0B82">
        <w:rPr>
          <w:rFonts w:ascii="Calibri" w:eastAsia="Times New Roman" w:hAnsi="Calibri" w:cs="Calibri"/>
          <w:color w:val="000000"/>
          <w:kern w:val="0"/>
          <w:sz w:val="24"/>
          <w:szCs w:val="24"/>
          <w:lang w:val="id-ID"/>
          <w14:ligatures w14:val="none"/>
        </w:rPr>
        <w:t>–</w:t>
      </w:r>
      <w:r w:rsidRPr="006B0B82">
        <w:rPr>
          <w:rFonts w:ascii="Calibri" w:eastAsia="Times New Roman" w:hAnsi="Calibri" w:cs="Calibri"/>
          <w:color w:val="000000"/>
          <w:kern w:val="0"/>
          <w:sz w:val="24"/>
          <w:szCs w:val="24"/>
          <w:lang w:val="id-ID"/>
          <w14:ligatures w14:val="none"/>
        </w:rPr>
        <w:t xml:space="preserve"> </w:t>
      </w:r>
      <w:r w:rsidR="00D55943" w:rsidRPr="006B0B82">
        <w:rPr>
          <w:rFonts w:ascii="Calibri" w:eastAsia="Times New Roman" w:hAnsi="Calibri" w:cs="Calibri"/>
          <w:color w:val="000000"/>
          <w:kern w:val="0"/>
          <w:sz w:val="24"/>
          <w:szCs w:val="24"/>
          <w:lang w:val="id-ID"/>
          <w14:ligatures w14:val="none"/>
        </w:rPr>
        <w:t xml:space="preserve">Akibat ketegangan geopolitik di Timur Tengah yang mengguncang fondasi ekonomi global yang mendorong harga minyak mentah, Bank Dunia merevisi proyeksi pertumbuhan ekonomi Indonesia tahun 2026, dari 5,0% menjadi 4,7%. </w:t>
      </w:r>
      <w:r w:rsidR="003A7D59" w:rsidRPr="006B0B82">
        <w:rPr>
          <w:rFonts w:ascii="Calibri" w:eastAsia="Times New Roman" w:hAnsi="Calibri" w:cs="Calibri"/>
          <w:color w:val="000000"/>
          <w:kern w:val="0"/>
          <w:sz w:val="24"/>
          <w:szCs w:val="24"/>
          <w:lang w:val="id-ID"/>
          <w14:ligatures w14:val="none"/>
        </w:rPr>
        <w:t>Namun</w:t>
      </w:r>
      <w:r w:rsidR="00D55943" w:rsidRPr="006B0B82">
        <w:rPr>
          <w:rFonts w:ascii="Calibri" w:eastAsia="Times New Roman" w:hAnsi="Calibri" w:cs="Calibri"/>
          <w:color w:val="000000"/>
          <w:kern w:val="0"/>
          <w:sz w:val="24"/>
          <w:szCs w:val="24"/>
          <w:lang w:val="id-ID"/>
          <w14:ligatures w14:val="none"/>
        </w:rPr>
        <w:t>, sinyal yang diberikan OECD justru berbeda.</w:t>
      </w:r>
    </w:p>
    <w:p w14:paraId="14B61306" w14:textId="16098BC8" w:rsidR="009908BE" w:rsidRPr="006B0B82" w:rsidRDefault="00D55943" w:rsidP="009908BE">
      <w:pPr>
        <w:spacing w:before="240" w:after="240" w:line="240" w:lineRule="auto"/>
        <w:jc w:val="both"/>
        <w:rPr>
          <w:rFonts w:ascii="Calibri" w:eastAsia="Times New Roman" w:hAnsi="Calibri" w:cs="Calibri"/>
          <w:kern w:val="0"/>
          <w:sz w:val="24"/>
          <w:szCs w:val="24"/>
          <w:lang w:val="id-ID"/>
          <w14:ligatures w14:val="none"/>
        </w:rPr>
      </w:pPr>
      <w:r w:rsidRPr="006B0B82">
        <w:rPr>
          <w:rFonts w:ascii="Calibri" w:eastAsia="Times New Roman" w:hAnsi="Calibri" w:cs="Calibri"/>
          <w:color w:val="000000"/>
          <w:kern w:val="0"/>
          <w:sz w:val="24"/>
          <w:szCs w:val="24"/>
          <w:lang w:val="id-ID"/>
          <w14:ligatures w14:val="none"/>
        </w:rPr>
        <w:t xml:space="preserve">Menanggapi </w:t>
      </w:r>
      <w:r w:rsidR="009908BE" w:rsidRPr="006B0B82">
        <w:rPr>
          <w:rFonts w:ascii="Calibri" w:eastAsia="Times New Roman" w:hAnsi="Calibri" w:cs="Calibri"/>
          <w:color w:val="000000"/>
          <w:kern w:val="0"/>
          <w:sz w:val="24"/>
          <w:szCs w:val="24"/>
          <w:lang w:val="id-ID"/>
          <w14:ligatures w14:val="none"/>
        </w:rPr>
        <w:t xml:space="preserve">hal tersebut, Direktur NEXT Indonesia Center </w:t>
      </w:r>
      <w:r w:rsidR="00241410" w:rsidRPr="006B0B82">
        <w:rPr>
          <w:rFonts w:ascii="Calibri" w:eastAsia="Times New Roman" w:hAnsi="Calibri" w:cs="Calibri"/>
          <w:color w:val="000000"/>
          <w:kern w:val="0"/>
          <w:sz w:val="24"/>
          <w:szCs w:val="24"/>
          <w:lang w:val="id-ID"/>
          <w14:ligatures w14:val="none"/>
        </w:rPr>
        <w:t>Herry Gunawan</w:t>
      </w:r>
      <w:r w:rsidR="009908BE" w:rsidRPr="006B0B82">
        <w:rPr>
          <w:rFonts w:ascii="Calibri" w:eastAsia="Times New Roman" w:hAnsi="Calibri" w:cs="Calibri"/>
          <w:color w:val="000000"/>
          <w:kern w:val="0"/>
          <w:sz w:val="24"/>
          <w:szCs w:val="24"/>
          <w:lang w:val="id-ID"/>
          <w14:ligatures w14:val="none"/>
        </w:rPr>
        <w:t>, menilai ketahanan ekonomi nasional kini berada pada titik uji yang krusial. “Situasi ini merupakan ujian nyata bagi kesehatan ekonomi nasional. Kita harus melihat secara jeli apakah ekonomi kita benar-benar masih sehat atau mulai melorot di bawah tekanan eksternal yang kian tajam," ujarnya dalam keterangan resmi di Jakarta, Minggu (19/4/2026).</w:t>
      </w:r>
    </w:p>
    <w:p w14:paraId="280482E8" w14:textId="08C0FFAA" w:rsidR="009908BE" w:rsidRPr="006B0B82" w:rsidRDefault="009908BE" w:rsidP="009908BE">
      <w:pPr>
        <w:spacing w:before="240" w:after="240" w:line="240" w:lineRule="auto"/>
        <w:jc w:val="both"/>
        <w:rPr>
          <w:rFonts w:ascii="Calibri" w:eastAsia="Times New Roman" w:hAnsi="Calibri" w:cs="Calibri"/>
          <w:kern w:val="0"/>
          <w:sz w:val="24"/>
          <w:szCs w:val="24"/>
          <w:lang w:val="id-ID"/>
          <w14:ligatures w14:val="none"/>
        </w:rPr>
      </w:pPr>
      <w:r w:rsidRPr="006B0B82">
        <w:rPr>
          <w:rFonts w:ascii="Calibri" w:eastAsia="Times New Roman" w:hAnsi="Calibri" w:cs="Calibri"/>
          <w:color w:val="000000"/>
          <w:kern w:val="0"/>
          <w:sz w:val="24"/>
          <w:szCs w:val="24"/>
          <w:lang w:val="id-ID"/>
          <w14:ligatures w14:val="none"/>
        </w:rPr>
        <w:t>Dalam laporan terbaru</w:t>
      </w:r>
      <w:r w:rsidR="002A403D" w:rsidRPr="006B0B82">
        <w:rPr>
          <w:rFonts w:ascii="Calibri" w:eastAsia="Times New Roman" w:hAnsi="Calibri" w:cs="Calibri"/>
          <w:color w:val="000000"/>
          <w:kern w:val="0"/>
          <w:sz w:val="24"/>
          <w:szCs w:val="24"/>
          <w:lang w:val="id-ID"/>
          <w14:ligatures w14:val="none"/>
        </w:rPr>
        <w:t>nya</w:t>
      </w:r>
      <w:r w:rsidRPr="006B0B82">
        <w:rPr>
          <w:rFonts w:ascii="Calibri" w:eastAsia="Times New Roman" w:hAnsi="Calibri" w:cs="Calibri"/>
          <w:color w:val="000000"/>
          <w:kern w:val="0"/>
          <w:sz w:val="24"/>
          <w:szCs w:val="24"/>
          <w:lang w:val="id-ID"/>
          <w14:ligatures w14:val="none"/>
        </w:rPr>
        <w:t xml:space="preserve"> bertajuk "Sinyal Daya Tahan Ekonomi Indonesia", NEXT Indonesia Center membedah arah pertumbuhan melalui </w:t>
      </w:r>
      <w:proofErr w:type="spellStart"/>
      <w:r w:rsidR="002A403D" w:rsidRPr="006B0B82">
        <w:rPr>
          <w:rFonts w:ascii="Calibri" w:eastAsia="Times New Roman" w:hAnsi="Calibri" w:cs="Calibri"/>
          <w:color w:val="000000"/>
          <w:kern w:val="0"/>
          <w:sz w:val="24"/>
          <w:szCs w:val="24"/>
          <w:lang w:val="id-ID"/>
          <w14:ligatures w14:val="none"/>
        </w:rPr>
        <w:t>instrument</w:t>
      </w:r>
      <w:proofErr w:type="spellEnd"/>
      <w:r w:rsidR="002A403D" w:rsidRPr="006B0B82">
        <w:rPr>
          <w:rFonts w:ascii="Calibri" w:eastAsia="Times New Roman" w:hAnsi="Calibri" w:cs="Calibri"/>
          <w:color w:val="000000"/>
          <w:kern w:val="0"/>
          <w:sz w:val="24"/>
          <w:szCs w:val="24"/>
          <w:lang w:val="id-ID"/>
          <w14:ligatures w14:val="none"/>
        </w:rPr>
        <w:t xml:space="preserve"> </w:t>
      </w:r>
      <w:proofErr w:type="spellStart"/>
      <w:r w:rsidRPr="006B0B82">
        <w:rPr>
          <w:rFonts w:ascii="Calibri" w:eastAsia="Times New Roman" w:hAnsi="Calibri" w:cs="Calibri"/>
          <w:color w:val="000000"/>
          <w:kern w:val="0"/>
          <w:sz w:val="24"/>
          <w:szCs w:val="24"/>
          <w:lang w:val="id-ID"/>
          <w14:ligatures w14:val="none"/>
        </w:rPr>
        <w:t>Composite</w:t>
      </w:r>
      <w:proofErr w:type="spellEnd"/>
      <w:r w:rsidRPr="006B0B82">
        <w:rPr>
          <w:rFonts w:ascii="Calibri" w:eastAsia="Times New Roman" w:hAnsi="Calibri" w:cs="Calibri"/>
          <w:color w:val="000000"/>
          <w:kern w:val="0"/>
          <w:sz w:val="24"/>
          <w:szCs w:val="24"/>
          <w:lang w:val="id-ID"/>
          <w14:ligatures w14:val="none"/>
        </w:rPr>
        <w:t xml:space="preserve"> </w:t>
      </w:r>
      <w:proofErr w:type="spellStart"/>
      <w:r w:rsidRPr="006B0B82">
        <w:rPr>
          <w:rFonts w:ascii="Calibri" w:eastAsia="Times New Roman" w:hAnsi="Calibri" w:cs="Calibri"/>
          <w:color w:val="000000"/>
          <w:kern w:val="0"/>
          <w:sz w:val="24"/>
          <w:szCs w:val="24"/>
          <w:lang w:val="id-ID"/>
          <w14:ligatures w14:val="none"/>
        </w:rPr>
        <w:t>Leading</w:t>
      </w:r>
      <w:proofErr w:type="spellEnd"/>
      <w:r w:rsidRPr="006B0B82">
        <w:rPr>
          <w:rFonts w:ascii="Calibri" w:eastAsia="Times New Roman" w:hAnsi="Calibri" w:cs="Calibri"/>
          <w:color w:val="000000"/>
          <w:kern w:val="0"/>
          <w:sz w:val="24"/>
          <w:szCs w:val="24"/>
          <w:lang w:val="id-ID"/>
          <w14:ligatures w14:val="none"/>
        </w:rPr>
        <w:t xml:space="preserve"> </w:t>
      </w:r>
      <w:proofErr w:type="spellStart"/>
      <w:r w:rsidRPr="006B0B82">
        <w:rPr>
          <w:rFonts w:ascii="Calibri" w:eastAsia="Times New Roman" w:hAnsi="Calibri" w:cs="Calibri"/>
          <w:color w:val="000000"/>
          <w:kern w:val="0"/>
          <w:sz w:val="24"/>
          <w:szCs w:val="24"/>
          <w:lang w:val="id-ID"/>
          <w14:ligatures w14:val="none"/>
        </w:rPr>
        <w:t>Indicator</w:t>
      </w:r>
      <w:proofErr w:type="spellEnd"/>
      <w:r w:rsidRPr="006B0B82">
        <w:rPr>
          <w:rFonts w:ascii="Calibri" w:eastAsia="Times New Roman" w:hAnsi="Calibri" w:cs="Calibri"/>
          <w:color w:val="000000"/>
          <w:kern w:val="0"/>
          <w:sz w:val="24"/>
          <w:szCs w:val="24"/>
          <w:lang w:val="id-ID"/>
          <w14:ligatures w14:val="none"/>
        </w:rPr>
        <w:t xml:space="preserve"> (CLI). Laporan tersebut juga menyoroti adanya perbedaan proyeksi yang cukup tajam antara lembaga internasional, yakni Bank Dunia dan Asian Development Bank (ADB).</w:t>
      </w:r>
    </w:p>
    <w:p w14:paraId="501EBAD3" w14:textId="77777777" w:rsidR="009908BE" w:rsidRPr="006B0B82" w:rsidRDefault="009908BE" w:rsidP="009908BE">
      <w:pPr>
        <w:spacing w:before="240" w:after="240" w:line="240" w:lineRule="auto"/>
        <w:jc w:val="both"/>
        <w:rPr>
          <w:rFonts w:ascii="Calibri" w:eastAsia="Times New Roman" w:hAnsi="Calibri" w:cs="Calibri"/>
          <w:kern w:val="0"/>
          <w:sz w:val="24"/>
          <w:szCs w:val="24"/>
          <w:lang w:val="id-ID"/>
          <w14:ligatures w14:val="none"/>
        </w:rPr>
      </w:pPr>
      <w:r w:rsidRPr="006B0B82">
        <w:rPr>
          <w:rFonts w:ascii="Calibri" w:eastAsia="Times New Roman" w:hAnsi="Calibri" w:cs="Calibri"/>
          <w:b/>
          <w:bCs/>
          <w:color w:val="000000"/>
          <w:kern w:val="0"/>
          <w:sz w:val="24"/>
          <w:szCs w:val="24"/>
          <w:lang w:val="id-ID"/>
          <w14:ligatures w14:val="none"/>
        </w:rPr>
        <w:t>Pesimisme Bank Dunia vs Optimisme ADB</w:t>
      </w:r>
    </w:p>
    <w:p w14:paraId="45F20180" w14:textId="77777777" w:rsidR="009908BE" w:rsidRPr="006B0B82" w:rsidRDefault="009908BE" w:rsidP="009908BE">
      <w:pPr>
        <w:spacing w:before="240" w:after="240" w:line="240" w:lineRule="auto"/>
        <w:jc w:val="both"/>
        <w:rPr>
          <w:rFonts w:ascii="Calibri" w:eastAsia="Times New Roman" w:hAnsi="Calibri" w:cs="Calibri"/>
          <w:kern w:val="0"/>
          <w:sz w:val="24"/>
          <w:szCs w:val="24"/>
          <w:lang w:val="id-ID"/>
          <w14:ligatures w14:val="none"/>
        </w:rPr>
      </w:pPr>
      <w:r w:rsidRPr="006B0B82">
        <w:rPr>
          <w:rFonts w:ascii="Calibri" w:eastAsia="Times New Roman" w:hAnsi="Calibri" w:cs="Calibri"/>
          <w:color w:val="000000"/>
          <w:kern w:val="0"/>
          <w:sz w:val="24"/>
          <w:szCs w:val="24"/>
          <w:lang w:val="id-ID"/>
          <w14:ligatures w14:val="none"/>
        </w:rPr>
        <w:t xml:space="preserve">Bank Dunia, melalui laporan </w:t>
      </w:r>
      <w:proofErr w:type="spellStart"/>
      <w:r w:rsidRPr="006B0B82">
        <w:rPr>
          <w:rFonts w:ascii="Calibri" w:eastAsia="Times New Roman" w:hAnsi="Calibri" w:cs="Calibri"/>
          <w:i/>
          <w:iCs/>
          <w:color w:val="000000"/>
          <w:kern w:val="0"/>
          <w:sz w:val="24"/>
          <w:szCs w:val="24"/>
          <w:lang w:val="id-ID"/>
          <w14:ligatures w14:val="none"/>
        </w:rPr>
        <w:t>East</w:t>
      </w:r>
      <w:proofErr w:type="spellEnd"/>
      <w:r w:rsidRPr="006B0B82">
        <w:rPr>
          <w:rFonts w:ascii="Calibri" w:eastAsia="Times New Roman" w:hAnsi="Calibri" w:cs="Calibri"/>
          <w:i/>
          <w:iCs/>
          <w:color w:val="000000"/>
          <w:kern w:val="0"/>
          <w:sz w:val="24"/>
          <w:szCs w:val="24"/>
          <w:lang w:val="id-ID"/>
          <w14:ligatures w14:val="none"/>
        </w:rPr>
        <w:t xml:space="preserve"> Asia </w:t>
      </w:r>
      <w:proofErr w:type="spellStart"/>
      <w:r w:rsidRPr="006B0B82">
        <w:rPr>
          <w:rFonts w:ascii="Calibri" w:eastAsia="Times New Roman" w:hAnsi="Calibri" w:cs="Calibri"/>
          <w:i/>
          <w:iCs/>
          <w:color w:val="000000"/>
          <w:kern w:val="0"/>
          <w:sz w:val="24"/>
          <w:szCs w:val="24"/>
          <w:lang w:val="id-ID"/>
          <w14:ligatures w14:val="none"/>
        </w:rPr>
        <w:t>and</w:t>
      </w:r>
      <w:proofErr w:type="spellEnd"/>
      <w:r w:rsidRPr="006B0B82">
        <w:rPr>
          <w:rFonts w:ascii="Calibri" w:eastAsia="Times New Roman" w:hAnsi="Calibri" w:cs="Calibri"/>
          <w:i/>
          <w:iCs/>
          <w:color w:val="000000"/>
          <w:kern w:val="0"/>
          <w:sz w:val="24"/>
          <w:szCs w:val="24"/>
          <w:lang w:val="id-ID"/>
          <w14:ligatures w14:val="none"/>
        </w:rPr>
        <w:t xml:space="preserve"> Pacific </w:t>
      </w:r>
      <w:proofErr w:type="spellStart"/>
      <w:r w:rsidRPr="006B0B82">
        <w:rPr>
          <w:rFonts w:ascii="Calibri" w:eastAsia="Times New Roman" w:hAnsi="Calibri" w:cs="Calibri"/>
          <w:i/>
          <w:iCs/>
          <w:color w:val="000000"/>
          <w:kern w:val="0"/>
          <w:sz w:val="24"/>
          <w:szCs w:val="24"/>
          <w:lang w:val="id-ID"/>
          <w14:ligatures w14:val="none"/>
        </w:rPr>
        <w:t>Economic</w:t>
      </w:r>
      <w:proofErr w:type="spellEnd"/>
      <w:r w:rsidRPr="006B0B82">
        <w:rPr>
          <w:rFonts w:ascii="Calibri" w:eastAsia="Times New Roman" w:hAnsi="Calibri" w:cs="Calibri"/>
          <w:i/>
          <w:iCs/>
          <w:color w:val="000000"/>
          <w:kern w:val="0"/>
          <w:sz w:val="24"/>
          <w:szCs w:val="24"/>
          <w:lang w:val="id-ID"/>
          <w14:ligatures w14:val="none"/>
        </w:rPr>
        <w:t xml:space="preserve"> </w:t>
      </w:r>
      <w:proofErr w:type="spellStart"/>
      <w:r w:rsidRPr="006B0B82">
        <w:rPr>
          <w:rFonts w:ascii="Calibri" w:eastAsia="Times New Roman" w:hAnsi="Calibri" w:cs="Calibri"/>
          <w:i/>
          <w:iCs/>
          <w:color w:val="000000"/>
          <w:kern w:val="0"/>
          <w:sz w:val="24"/>
          <w:szCs w:val="24"/>
          <w:lang w:val="id-ID"/>
          <w14:ligatures w14:val="none"/>
        </w:rPr>
        <w:t>Update</w:t>
      </w:r>
      <w:proofErr w:type="spellEnd"/>
      <w:r w:rsidRPr="006B0B82">
        <w:rPr>
          <w:rFonts w:ascii="Calibri" w:eastAsia="Times New Roman" w:hAnsi="Calibri" w:cs="Calibri"/>
          <w:color w:val="000000"/>
          <w:kern w:val="0"/>
          <w:sz w:val="24"/>
          <w:szCs w:val="24"/>
          <w:lang w:val="id-ID"/>
          <w14:ligatures w14:val="none"/>
        </w:rPr>
        <w:t xml:space="preserve"> edisi April 2026, cenderung pesimistis dengan memproyeksikan ekonomi Indonesia melambat ke level 4,7%. Angka ini turun signifikan jika dibandingkan dengan realisasi pertumbuhan tahun 2025 yang berhasil mencapai angka 5,11%.</w:t>
      </w:r>
    </w:p>
    <w:p w14:paraId="703064F6" w14:textId="77777777" w:rsidR="009908BE" w:rsidRPr="006B0B82" w:rsidRDefault="009908BE" w:rsidP="009908BE">
      <w:pPr>
        <w:spacing w:before="240" w:after="240" w:line="240" w:lineRule="auto"/>
        <w:jc w:val="both"/>
        <w:rPr>
          <w:rFonts w:ascii="Calibri" w:eastAsia="Times New Roman" w:hAnsi="Calibri" w:cs="Calibri"/>
          <w:kern w:val="0"/>
          <w:sz w:val="24"/>
          <w:szCs w:val="24"/>
          <w:lang w:val="id-ID"/>
          <w14:ligatures w14:val="none"/>
        </w:rPr>
      </w:pPr>
      <w:r w:rsidRPr="006B0B82">
        <w:rPr>
          <w:rFonts w:ascii="Calibri" w:eastAsia="Times New Roman" w:hAnsi="Calibri" w:cs="Calibri"/>
          <w:color w:val="000000"/>
          <w:kern w:val="0"/>
          <w:sz w:val="24"/>
          <w:szCs w:val="24"/>
          <w:lang w:val="id-ID"/>
          <w14:ligatures w14:val="none"/>
        </w:rPr>
        <w:t>Sebaliknya, Asian Development Bank (ADB) justru memberikan pandangan yang lebih optimistis terhadap prospek domestik. ADB memproyeksikan ekonomi Indonesia justru mampu menguat hingga mencapai pertumbuhan 5,2%, sebuah angka yang melampaui capaian tahun sebelumnya meskipun dibayangi ketidakpastian global.</w:t>
      </w:r>
    </w:p>
    <w:p w14:paraId="0B9E2CED" w14:textId="2A262470" w:rsidR="009908BE" w:rsidRPr="006B0B82" w:rsidRDefault="00241410" w:rsidP="009908BE">
      <w:pPr>
        <w:spacing w:before="240" w:after="240" w:line="240" w:lineRule="auto"/>
        <w:jc w:val="both"/>
        <w:rPr>
          <w:rFonts w:ascii="Calibri" w:eastAsia="Times New Roman" w:hAnsi="Calibri" w:cs="Calibri"/>
          <w:kern w:val="0"/>
          <w:sz w:val="24"/>
          <w:szCs w:val="24"/>
          <w:lang w:val="id-ID"/>
          <w14:ligatures w14:val="none"/>
        </w:rPr>
      </w:pPr>
      <w:r w:rsidRPr="006B0B82">
        <w:rPr>
          <w:rFonts w:ascii="Calibri" w:eastAsia="Times New Roman" w:hAnsi="Calibri" w:cs="Calibri"/>
          <w:color w:val="000000"/>
          <w:kern w:val="0"/>
          <w:sz w:val="24"/>
          <w:szCs w:val="24"/>
          <w:lang w:val="id-ID"/>
          <w14:ligatures w14:val="none"/>
        </w:rPr>
        <w:t>Herry Gunawan</w:t>
      </w:r>
      <w:r w:rsidR="009908BE" w:rsidRPr="006B0B82">
        <w:rPr>
          <w:rFonts w:ascii="Calibri" w:eastAsia="Times New Roman" w:hAnsi="Calibri" w:cs="Calibri"/>
          <w:color w:val="000000"/>
          <w:kern w:val="0"/>
          <w:sz w:val="24"/>
          <w:szCs w:val="24"/>
          <w:lang w:val="id-ID"/>
          <w14:ligatures w14:val="none"/>
        </w:rPr>
        <w:t xml:space="preserve"> menekankan bahwa adanya </w:t>
      </w:r>
      <w:r w:rsidR="009908BE" w:rsidRPr="006B0B82">
        <w:rPr>
          <w:rFonts w:ascii="Calibri" w:eastAsia="Times New Roman" w:hAnsi="Calibri" w:cs="Calibri"/>
          <w:i/>
          <w:iCs/>
          <w:color w:val="000000"/>
          <w:kern w:val="0"/>
          <w:sz w:val="24"/>
          <w:szCs w:val="24"/>
          <w:lang w:val="id-ID"/>
          <w14:ligatures w14:val="none"/>
        </w:rPr>
        <w:t>gap</w:t>
      </w:r>
      <w:r w:rsidR="009908BE" w:rsidRPr="006B0B82">
        <w:rPr>
          <w:rFonts w:ascii="Calibri" w:eastAsia="Times New Roman" w:hAnsi="Calibri" w:cs="Calibri"/>
          <w:color w:val="000000"/>
          <w:kern w:val="0"/>
          <w:sz w:val="24"/>
          <w:szCs w:val="24"/>
          <w:lang w:val="id-ID"/>
          <w14:ligatures w14:val="none"/>
        </w:rPr>
        <w:t xml:space="preserve"> proyeksi antara 4,7% dan 5,2% ini menunjukkan betapa dinamisnya penilaian terhadap daya tahan Indonesia. "Adanya perbedaan angka proyeksi ini membuktikan bahwa faktor ketidakpastian global sangat memengaruhi persepsi lembaga internasional terhadap fundamental ekonomi kita di tahun 2026," tambahnya.</w:t>
      </w:r>
    </w:p>
    <w:p w14:paraId="4E2E47CE" w14:textId="77777777" w:rsidR="009908BE" w:rsidRPr="006B0B82" w:rsidRDefault="009908BE" w:rsidP="009908BE">
      <w:pPr>
        <w:spacing w:before="240" w:after="240" w:line="240" w:lineRule="auto"/>
        <w:jc w:val="both"/>
        <w:rPr>
          <w:rFonts w:ascii="Calibri" w:eastAsia="Times New Roman" w:hAnsi="Calibri" w:cs="Calibri"/>
          <w:kern w:val="0"/>
          <w:sz w:val="24"/>
          <w:szCs w:val="24"/>
          <w:lang w:val="id-ID"/>
          <w14:ligatures w14:val="none"/>
        </w:rPr>
      </w:pPr>
      <w:r w:rsidRPr="006B0B82">
        <w:rPr>
          <w:rFonts w:ascii="Calibri" w:eastAsia="Times New Roman" w:hAnsi="Calibri" w:cs="Calibri"/>
          <w:b/>
          <w:bCs/>
          <w:color w:val="000000"/>
          <w:kern w:val="0"/>
          <w:sz w:val="24"/>
          <w:szCs w:val="24"/>
          <w:lang w:val="id-ID"/>
          <w14:ligatures w14:val="none"/>
        </w:rPr>
        <w:t>Sinyal CLI: Ekonomi Indonesia Baik-baik Saja</w:t>
      </w:r>
    </w:p>
    <w:p w14:paraId="1DA3526F" w14:textId="77777777" w:rsidR="00E20F48" w:rsidRDefault="009908BE" w:rsidP="00E20F48">
      <w:pPr>
        <w:spacing w:before="240" w:after="0" w:line="240" w:lineRule="auto"/>
        <w:rPr>
          <w:rFonts w:ascii="Calibri" w:eastAsia="Times New Roman" w:hAnsi="Calibri" w:cs="Calibri"/>
          <w:kern w:val="0"/>
          <w:sz w:val="24"/>
          <w:szCs w:val="24"/>
          <w:lang w:val="id-ID"/>
          <w14:ligatures w14:val="none"/>
        </w:rPr>
      </w:pPr>
      <w:r w:rsidRPr="006B0B82">
        <w:rPr>
          <w:rFonts w:ascii="Calibri" w:eastAsia="Times New Roman" w:hAnsi="Calibri" w:cs="Calibri"/>
          <w:color w:val="000000"/>
          <w:kern w:val="0"/>
          <w:sz w:val="24"/>
          <w:szCs w:val="24"/>
          <w:lang w:val="id-ID"/>
          <w14:ligatures w14:val="none"/>
        </w:rPr>
        <w:t xml:space="preserve">Untuk membaca arah momentum secara lebih objektif, NEXT Indonesia Center menggunakan data </w:t>
      </w:r>
      <w:proofErr w:type="spellStart"/>
      <w:r w:rsidRPr="006B0B82">
        <w:rPr>
          <w:rFonts w:ascii="Calibri" w:eastAsia="Times New Roman" w:hAnsi="Calibri" w:cs="Calibri"/>
          <w:color w:val="000000"/>
          <w:kern w:val="0"/>
          <w:sz w:val="24"/>
          <w:szCs w:val="24"/>
          <w:lang w:val="id-ID"/>
          <w14:ligatures w14:val="none"/>
        </w:rPr>
        <w:t>Composite</w:t>
      </w:r>
      <w:proofErr w:type="spellEnd"/>
      <w:r w:rsidRPr="006B0B82">
        <w:rPr>
          <w:rFonts w:ascii="Calibri" w:eastAsia="Times New Roman" w:hAnsi="Calibri" w:cs="Calibri"/>
          <w:color w:val="000000"/>
          <w:kern w:val="0"/>
          <w:sz w:val="24"/>
          <w:szCs w:val="24"/>
          <w:lang w:val="id-ID"/>
          <w14:ligatures w14:val="none"/>
        </w:rPr>
        <w:t xml:space="preserve"> </w:t>
      </w:r>
      <w:proofErr w:type="spellStart"/>
      <w:r w:rsidRPr="006B0B82">
        <w:rPr>
          <w:rFonts w:ascii="Calibri" w:eastAsia="Times New Roman" w:hAnsi="Calibri" w:cs="Calibri"/>
          <w:color w:val="000000"/>
          <w:kern w:val="0"/>
          <w:sz w:val="24"/>
          <w:szCs w:val="24"/>
          <w:lang w:val="id-ID"/>
          <w14:ligatures w14:val="none"/>
        </w:rPr>
        <w:t>Leading</w:t>
      </w:r>
      <w:proofErr w:type="spellEnd"/>
      <w:r w:rsidRPr="006B0B82">
        <w:rPr>
          <w:rFonts w:ascii="Calibri" w:eastAsia="Times New Roman" w:hAnsi="Calibri" w:cs="Calibri"/>
          <w:color w:val="000000"/>
          <w:kern w:val="0"/>
          <w:sz w:val="24"/>
          <w:szCs w:val="24"/>
          <w:lang w:val="id-ID"/>
          <w14:ligatures w14:val="none"/>
        </w:rPr>
        <w:t xml:space="preserve"> </w:t>
      </w:r>
      <w:proofErr w:type="spellStart"/>
      <w:r w:rsidRPr="006B0B82">
        <w:rPr>
          <w:rFonts w:ascii="Calibri" w:eastAsia="Times New Roman" w:hAnsi="Calibri" w:cs="Calibri"/>
          <w:color w:val="000000"/>
          <w:kern w:val="0"/>
          <w:sz w:val="24"/>
          <w:szCs w:val="24"/>
          <w:lang w:val="id-ID"/>
          <w14:ligatures w14:val="none"/>
        </w:rPr>
        <w:t>Indicator</w:t>
      </w:r>
      <w:proofErr w:type="spellEnd"/>
      <w:r w:rsidRPr="006B0B82">
        <w:rPr>
          <w:rFonts w:ascii="Calibri" w:eastAsia="Times New Roman" w:hAnsi="Calibri" w:cs="Calibri"/>
          <w:color w:val="000000"/>
          <w:kern w:val="0"/>
          <w:sz w:val="24"/>
          <w:szCs w:val="24"/>
          <w:lang w:val="id-ID"/>
          <w14:ligatures w14:val="none"/>
        </w:rPr>
        <w:t xml:space="preserve"> (CLI) yang dikeluarkan oleh </w:t>
      </w:r>
      <w:proofErr w:type="spellStart"/>
      <w:r w:rsidR="002A403D" w:rsidRPr="006B0B82">
        <w:rPr>
          <w:rFonts w:ascii="Calibri" w:eastAsia="Times New Roman" w:hAnsi="Calibri" w:cs="Calibri"/>
          <w:color w:val="000000"/>
          <w:kern w:val="0"/>
          <w:sz w:val="24"/>
          <w:szCs w:val="24"/>
          <w:lang w:val="id-ID"/>
          <w14:ligatures w14:val="none"/>
        </w:rPr>
        <w:t>Organization</w:t>
      </w:r>
      <w:proofErr w:type="spellEnd"/>
      <w:r w:rsidR="002A403D" w:rsidRPr="006B0B82">
        <w:rPr>
          <w:rFonts w:ascii="Calibri" w:eastAsia="Times New Roman" w:hAnsi="Calibri" w:cs="Calibri"/>
          <w:color w:val="000000"/>
          <w:kern w:val="0"/>
          <w:sz w:val="24"/>
          <w:szCs w:val="24"/>
          <w:lang w:val="id-ID"/>
          <w14:ligatures w14:val="none"/>
        </w:rPr>
        <w:t xml:space="preserve"> </w:t>
      </w:r>
      <w:proofErr w:type="spellStart"/>
      <w:r w:rsidR="002A403D" w:rsidRPr="006B0B82">
        <w:rPr>
          <w:rFonts w:ascii="Calibri" w:eastAsia="Times New Roman" w:hAnsi="Calibri" w:cs="Calibri"/>
          <w:color w:val="000000"/>
          <w:kern w:val="0"/>
          <w:sz w:val="24"/>
          <w:szCs w:val="24"/>
          <w:lang w:val="id-ID"/>
          <w14:ligatures w14:val="none"/>
        </w:rPr>
        <w:t>for</w:t>
      </w:r>
      <w:proofErr w:type="spellEnd"/>
      <w:r w:rsidR="002A403D" w:rsidRPr="006B0B82">
        <w:rPr>
          <w:rFonts w:ascii="Calibri" w:eastAsia="Times New Roman" w:hAnsi="Calibri" w:cs="Calibri"/>
          <w:color w:val="000000"/>
          <w:kern w:val="0"/>
          <w:sz w:val="24"/>
          <w:szCs w:val="24"/>
          <w:lang w:val="id-ID"/>
          <w14:ligatures w14:val="none"/>
        </w:rPr>
        <w:t xml:space="preserve"> </w:t>
      </w:r>
      <w:proofErr w:type="spellStart"/>
      <w:r w:rsidR="002A403D" w:rsidRPr="006B0B82">
        <w:rPr>
          <w:rFonts w:ascii="Calibri" w:eastAsia="Times New Roman" w:hAnsi="Calibri" w:cs="Calibri"/>
          <w:color w:val="000000"/>
          <w:kern w:val="0"/>
          <w:sz w:val="24"/>
          <w:szCs w:val="24"/>
          <w:lang w:val="id-ID"/>
          <w14:ligatures w14:val="none"/>
        </w:rPr>
        <w:t>Economic</w:t>
      </w:r>
      <w:proofErr w:type="spellEnd"/>
      <w:r w:rsidR="002A403D" w:rsidRPr="006B0B82">
        <w:rPr>
          <w:rFonts w:ascii="Calibri" w:eastAsia="Times New Roman" w:hAnsi="Calibri" w:cs="Calibri"/>
          <w:color w:val="000000"/>
          <w:kern w:val="0"/>
          <w:sz w:val="24"/>
          <w:szCs w:val="24"/>
          <w:lang w:val="id-ID"/>
          <w14:ligatures w14:val="none"/>
        </w:rPr>
        <w:t xml:space="preserve"> Co-</w:t>
      </w:r>
      <w:proofErr w:type="spellStart"/>
      <w:r w:rsidR="002A403D" w:rsidRPr="006B0B82">
        <w:rPr>
          <w:rFonts w:ascii="Calibri" w:eastAsia="Times New Roman" w:hAnsi="Calibri" w:cs="Calibri"/>
          <w:color w:val="000000"/>
          <w:kern w:val="0"/>
          <w:sz w:val="24"/>
          <w:szCs w:val="24"/>
          <w:lang w:val="id-ID"/>
          <w14:ligatures w14:val="none"/>
        </w:rPr>
        <w:t>operation</w:t>
      </w:r>
      <w:proofErr w:type="spellEnd"/>
      <w:r w:rsidR="002A403D" w:rsidRPr="006B0B82">
        <w:rPr>
          <w:rFonts w:ascii="Calibri" w:eastAsia="Times New Roman" w:hAnsi="Calibri" w:cs="Calibri"/>
          <w:color w:val="000000"/>
          <w:kern w:val="0"/>
          <w:sz w:val="24"/>
          <w:szCs w:val="24"/>
          <w:lang w:val="id-ID"/>
          <w14:ligatures w14:val="none"/>
        </w:rPr>
        <w:t xml:space="preserve"> </w:t>
      </w:r>
      <w:proofErr w:type="spellStart"/>
      <w:r w:rsidR="002A403D" w:rsidRPr="006B0B82">
        <w:rPr>
          <w:rFonts w:ascii="Calibri" w:eastAsia="Times New Roman" w:hAnsi="Calibri" w:cs="Calibri"/>
          <w:color w:val="000000"/>
          <w:kern w:val="0"/>
          <w:sz w:val="24"/>
          <w:szCs w:val="24"/>
          <w:lang w:val="id-ID"/>
          <w14:ligatures w14:val="none"/>
        </w:rPr>
        <w:t>and</w:t>
      </w:r>
      <w:proofErr w:type="spellEnd"/>
      <w:r w:rsidR="002A403D" w:rsidRPr="006B0B82">
        <w:rPr>
          <w:rFonts w:ascii="Calibri" w:eastAsia="Times New Roman" w:hAnsi="Calibri" w:cs="Calibri"/>
          <w:color w:val="000000"/>
          <w:kern w:val="0"/>
          <w:sz w:val="24"/>
          <w:szCs w:val="24"/>
          <w:lang w:val="id-ID"/>
          <w14:ligatures w14:val="none"/>
        </w:rPr>
        <w:t xml:space="preserve"> Development </w:t>
      </w:r>
      <w:r w:rsidR="00F91136" w:rsidRPr="006B0B82">
        <w:rPr>
          <w:rFonts w:ascii="Calibri" w:eastAsia="Times New Roman" w:hAnsi="Calibri" w:cs="Calibri"/>
          <w:kern w:val="0"/>
          <w:sz w:val="24"/>
          <w:szCs w:val="24"/>
          <w:lang w:val="id-ID"/>
          <w14:ligatures w14:val="none"/>
        </w:rPr>
        <w:t>(</w:t>
      </w:r>
      <w:r w:rsidRPr="006B0B82">
        <w:rPr>
          <w:rFonts w:ascii="Calibri" w:eastAsia="Times New Roman" w:hAnsi="Calibri" w:cs="Calibri"/>
          <w:color w:val="000000"/>
          <w:kern w:val="0"/>
          <w:sz w:val="24"/>
          <w:szCs w:val="24"/>
          <w:lang w:val="id-ID"/>
          <w14:ligatures w14:val="none"/>
        </w:rPr>
        <w:t>OECD</w:t>
      </w:r>
      <w:r w:rsidR="00F91136" w:rsidRPr="006B0B82">
        <w:rPr>
          <w:rFonts w:ascii="Calibri" w:eastAsia="Times New Roman" w:hAnsi="Calibri" w:cs="Calibri"/>
          <w:color w:val="000000"/>
          <w:kern w:val="0"/>
          <w:sz w:val="24"/>
          <w:szCs w:val="24"/>
          <w:lang w:val="id-ID"/>
          <w14:ligatures w14:val="none"/>
        </w:rPr>
        <w:t>)</w:t>
      </w:r>
      <w:r w:rsidRPr="006B0B82">
        <w:rPr>
          <w:rFonts w:ascii="Calibri" w:eastAsia="Times New Roman" w:hAnsi="Calibri" w:cs="Calibri"/>
          <w:color w:val="000000"/>
          <w:kern w:val="0"/>
          <w:sz w:val="24"/>
          <w:szCs w:val="24"/>
          <w:lang w:val="id-ID"/>
          <w14:ligatures w14:val="none"/>
        </w:rPr>
        <w:t xml:space="preserve"> sebagai instrumen navigasi utama. CLI dirancang sebagai sistem peringatan dini yang mengolah komponen pesanan industri hingga kepercayaan</w:t>
      </w:r>
      <w:r w:rsidR="00F91136" w:rsidRPr="006B0B82">
        <w:rPr>
          <w:rFonts w:ascii="Calibri" w:eastAsia="Times New Roman" w:hAnsi="Calibri" w:cs="Calibri"/>
          <w:color w:val="000000"/>
          <w:kern w:val="0"/>
          <w:sz w:val="24"/>
          <w:szCs w:val="24"/>
          <w:lang w:val="id-ID"/>
          <w14:ligatures w14:val="none"/>
        </w:rPr>
        <w:t xml:space="preserve"> </w:t>
      </w:r>
      <w:r w:rsidRPr="006B0B82">
        <w:rPr>
          <w:rFonts w:ascii="Calibri" w:eastAsia="Times New Roman" w:hAnsi="Calibri" w:cs="Calibri"/>
          <w:color w:val="000000"/>
          <w:kern w:val="0"/>
          <w:sz w:val="24"/>
          <w:szCs w:val="24"/>
          <w:lang w:val="id-ID"/>
          <w14:ligatures w14:val="none"/>
        </w:rPr>
        <w:lastRenderedPageBreak/>
        <w:t>konsumen untuk menangkap titik balik siklus ekonomi sebelum data Produk Domestik Bruto (PDB) resmi dirilis.</w:t>
      </w:r>
    </w:p>
    <w:p w14:paraId="7C1F40C4" w14:textId="39AF858D" w:rsidR="009908BE" w:rsidRPr="006B0B82" w:rsidRDefault="009908BE" w:rsidP="00E20F48">
      <w:pPr>
        <w:spacing w:before="240" w:after="0" w:line="240" w:lineRule="auto"/>
        <w:rPr>
          <w:rFonts w:ascii="Calibri" w:eastAsia="Times New Roman" w:hAnsi="Calibri" w:cs="Calibri"/>
          <w:kern w:val="0"/>
          <w:sz w:val="24"/>
          <w:szCs w:val="24"/>
          <w:lang w:val="id-ID"/>
          <w14:ligatures w14:val="none"/>
        </w:rPr>
      </w:pPr>
      <w:r w:rsidRPr="006B0B82">
        <w:rPr>
          <w:rFonts w:ascii="Calibri" w:eastAsia="Times New Roman" w:hAnsi="Calibri" w:cs="Calibri"/>
          <w:color w:val="000000"/>
          <w:kern w:val="0"/>
          <w:sz w:val="24"/>
          <w:szCs w:val="24"/>
          <w:lang w:val="id-ID"/>
          <w14:ligatures w14:val="none"/>
        </w:rPr>
        <w:t>Berdasarkan data terbaru per Maret 2026, CLI Indonesia tercatat masih konsisten berada di atas level 100, yakni di angka 100,52. Dalam interpretasi ekonomi, posisi di atas ambang 100 menandakan bahwa fundamental nasional sebenarnya masih memiliki napas untuk tumbuh di atas rata-rata tren jangka panjangnya, atau tetap terjaga di atas 5%.</w:t>
      </w:r>
    </w:p>
    <w:p w14:paraId="5604AC38" w14:textId="7A08F482" w:rsidR="009908BE" w:rsidRPr="006B0B82" w:rsidRDefault="00241410" w:rsidP="00E20F48">
      <w:pPr>
        <w:spacing w:before="240" w:after="240" w:line="240" w:lineRule="auto"/>
        <w:jc w:val="both"/>
        <w:rPr>
          <w:rFonts w:ascii="Calibri" w:eastAsia="Times New Roman" w:hAnsi="Calibri" w:cs="Calibri"/>
          <w:kern w:val="0"/>
          <w:sz w:val="24"/>
          <w:szCs w:val="24"/>
          <w:lang w:val="id-ID"/>
          <w14:ligatures w14:val="none"/>
        </w:rPr>
      </w:pPr>
      <w:r w:rsidRPr="006B0B82">
        <w:rPr>
          <w:rFonts w:ascii="Calibri" w:eastAsia="Times New Roman" w:hAnsi="Calibri" w:cs="Calibri"/>
          <w:color w:val="000000"/>
          <w:kern w:val="0"/>
          <w:sz w:val="24"/>
          <w:szCs w:val="24"/>
          <w:lang w:val="id-ID"/>
          <w14:ligatures w14:val="none"/>
        </w:rPr>
        <w:t xml:space="preserve">Herry Gunawan </w:t>
      </w:r>
      <w:r w:rsidR="009908BE" w:rsidRPr="006B0B82">
        <w:rPr>
          <w:rFonts w:ascii="Calibri" w:eastAsia="Times New Roman" w:hAnsi="Calibri" w:cs="Calibri"/>
          <w:color w:val="000000"/>
          <w:kern w:val="0"/>
          <w:sz w:val="24"/>
          <w:szCs w:val="24"/>
          <w:lang w:val="id-ID"/>
          <w14:ligatures w14:val="none"/>
        </w:rPr>
        <w:t>menjelaskan bahwa angka CLI Indonesia yang berada di atas ambang 100 menunjukkan bahwa momentum pertumbuhan nasional sebenarnya masih cukup terjaga. Jika dibandingkan dengan rata-rata ekonomi utama Asia lainnya, posisi Indonesia bahkan terlihat jauh lebih kokoh dibandingkan Tiongkok yang CLI-</w:t>
      </w:r>
      <w:proofErr w:type="spellStart"/>
      <w:r w:rsidR="009908BE" w:rsidRPr="006B0B82">
        <w:rPr>
          <w:rFonts w:ascii="Calibri" w:eastAsia="Times New Roman" w:hAnsi="Calibri" w:cs="Calibri"/>
          <w:color w:val="000000"/>
          <w:kern w:val="0"/>
          <w:sz w:val="24"/>
          <w:szCs w:val="24"/>
          <w:lang w:val="id-ID"/>
          <w14:ligatures w14:val="none"/>
        </w:rPr>
        <w:t>nya</w:t>
      </w:r>
      <w:proofErr w:type="spellEnd"/>
      <w:r w:rsidR="009908BE" w:rsidRPr="006B0B82">
        <w:rPr>
          <w:rFonts w:ascii="Calibri" w:eastAsia="Times New Roman" w:hAnsi="Calibri" w:cs="Calibri"/>
          <w:color w:val="000000"/>
          <w:kern w:val="0"/>
          <w:sz w:val="24"/>
          <w:szCs w:val="24"/>
          <w:lang w:val="id-ID"/>
          <w14:ligatures w14:val="none"/>
        </w:rPr>
        <w:t xml:space="preserve"> terus merosot di bawah level 100.</w:t>
      </w:r>
    </w:p>
    <w:p w14:paraId="0C4FB47E" w14:textId="760FDB4F" w:rsidR="009908BE" w:rsidRPr="006B0B82" w:rsidRDefault="009908BE" w:rsidP="009908BE">
      <w:pPr>
        <w:spacing w:before="240" w:after="240" w:line="240" w:lineRule="auto"/>
        <w:jc w:val="both"/>
        <w:rPr>
          <w:rFonts w:ascii="Calibri" w:eastAsia="Times New Roman" w:hAnsi="Calibri" w:cs="Calibri"/>
          <w:color w:val="000000"/>
          <w:kern w:val="0"/>
          <w:sz w:val="24"/>
          <w:szCs w:val="24"/>
          <w:lang w:val="id-ID"/>
          <w14:ligatures w14:val="none"/>
        </w:rPr>
      </w:pPr>
      <w:r w:rsidRPr="006B0B82">
        <w:rPr>
          <w:rFonts w:ascii="Calibri" w:eastAsia="Times New Roman" w:hAnsi="Calibri" w:cs="Calibri"/>
          <w:color w:val="000000"/>
          <w:kern w:val="0"/>
          <w:sz w:val="24"/>
          <w:szCs w:val="24"/>
          <w:lang w:val="id-ID"/>
          <w14:ligatures w14:val="none"/>
        </w:rPr>
        <w:t xml:space="preserve">"Data CLI kita memang masih berada di atas level 100, yang artinya secara fundamental ekonomi Indonesia masih memiliki napas untuk tumbuh di atas rata-rata tren jangka panjangnya. Sinyal ini menjadi kompas yang menunjukkan bahwa momentum pertumbuhan kita masih di wilayah positif di tengah volatilitas energi dunia," jelas </w:t>
      </w:r>
      <w:r w:rsidR="00241410" w:rsidRPr="006B0B82">
        <w:rPr>
          <w:rFonts w:ascii="Calibri" w:eastAsia="Times New Roman" w:hAnsi="Calibri" w:cs="Calibri"/>
          <w:color w:val="000000"/>
          <w:kern w:val="0"/>
          <w:sz w:val="24"/>
          <w:szCs w:val="24"/>
          <w:lang w:val="id-ID"/>
          <w14:ligatures w14:val="none"/>
        </w:rPr>
        <w:t>Herry Gunawan</w:t>
      </w:r>
      <w:r w:rsidRPr="006B0B82">
        <w:rPr>
          <w:rFonts w:ascii="Calibri" w:eastAsia="Times New Roman" w:hAnsi="Calibri" w:cs="Calibri"/>
          <w:color w:val="000000"/>
          <w:kern w:val="0"/>
          <w:sz w:val="24"/>
          <w:szCs w:val="24"/>
          <w:lang w:val="id-ID"/>
          <w14:ligatures w14:val="none"/>
        </w:rPr>
        <w:t>.</w:t>
      </w:r>
    </w:p>
    <w:p w14:paraId="68CBF893" w14:textId="77777777" w:rsidR="009908BE" w:rsidRPr="006B0B82" w:rsidRDefault="009908BE" w:rsidP="009908BE">
      <w:pPr>
        <w:spacing w:before="240" w:after="240" w:line="240" w:lineRule="auto"/>
        <w:jc w:val="both"/>
        <w:rPr>
          <w:rFonts w:ascii="Calibri" w:eastAsia="Times New Roman" w:hAnsi="Calibri" w:cs="Calibri"/>
          <w:kern w:val="0"/>
          <w:sz w:val="24"/>
          <w:szCs w:val="24"/>
          <w:lang w:val="id-ID"/>
          <w14:ligatures w14:val="none"/>
        </w:rPr>
      </w:pPr>
      <w:r w:rsidRPr="006B0B82">
        <w:rPr>
          <w:rFonts w:ascii="Calibri" w:eastAsia="Times New Roman" w:hAnsi="Calibri" w:cs="Calibri"/>
          <w:color w:val="000000"/>
          <w:kern w:val="0"/>
          <w:sz w:val="24"/>
          <w:szCs w:val="24"/>
          <w:lang w:val="id-ID"/>
          <w14:ligatures w14:val="none"/>
        </w:rPr>
        <w:t>Namun, terdapat catatan waspada terhadap penurunan tipis angka CLI dari 100,59 pada Februari menjadi 100,52 di bulan Maret 2026. Penurunan momentum ini, walaupun masih berada di wilayah ekspansif, harus dibaca sebagai peringatan dini akan mulai munculnya titik jenuh pada mesin utama pertumbuhan nasional, yaitu sektor konsumsi.</w:t>
      </w:r>
    </w:p>
    <w:p w14:paraId="740BFF15" w14:textId="77777777" w:rsidR="009908BE" w:rsidRPr="006B0B82" w:rsidRDefault="009908BE" w:rsidP="009908BE">
      <w:pPr>
        <w:spacing w:before="240" w:after="240" w:line="240" w:lineRule="auto"/>
        <w:jc w:val="both"/>
        <w:rPr>
          <w:rFonts w:ascii="Calibri" w:eastAsia="Times New Roman" w:hAnsi="Calibri" w:cs="Calibri"/>
          <w:kern w:val="0"/>
          <w:sz w:val="24"/>
          <w:szCs w:val="24"/>
          <w:lang w:val="id-ID"/>
          <w14:ligatures w14:val="none"/>
        </w:rPr>
      </w:pPr>
      <w:proofErr w:type="spellStart"/>
      <w:r w:rsidRPr="006B0B82">
        <w:rPr>
          <w:rFonts w:ascii="Calibri" w:eastAsia="Times New Roman" w:hAnsi="Calibri" w:cs="Calibri"/>
          <w:color w:val="000000"/>
          <w:kern w:val="0"/>
          <w:sz w:val="24"/>
          <w:szCs w:val="24"/>
          <w:lang w:val="id-ID"/>
          <w14:ligatures w14:val="none"/>
        </w:rPr>
        <w:t>Moderasi</w:t>
      </w:r>
      <w:proofErr w:type="spellEnd"/>
      <w:r w:rsidRPr="006B0B82">
        <w:rPr>
          <w:rFonts w:ascii="Calibri" w:eastAsia="Times New Roman" w:hAnsi="Calibri" w:cs="Calibri"/>
          <w:color w:val="000000"/>
          <w:kern w:val="0"/>
          <w:sz w:val="24"/>
          <w:szCs w:val="24"/>
          <w:lang w:val="id-ID"/>
          <w14:ligatures w14:val="none"/>
        </w:rPr>
        <w:t xml:space="preserve"> momentum ini sangat krusial karena struktur ekonomi Indonesia masih sangat bergantung pada satu mesin utama, yakni konsumsi rumah tangga yang menyumbang 53,9% terhadap PDB. Penurunan tipis di awal tahun ini kemungkinan besar mencerminkan kecemasan konsumen domestik terhadap potensi inflasi dan lonjakan harga energi dunia.</w:t>
      </w:r>
    </w:p>
    <w:p w14:paraId="0B45C71D" w14:textId="77777777" w:rsidR="009908BE" w:rsidRPr="006B0B82" w:rsidRDefault="009908BE" w:rsidP="009908BE">
      <w:pPr>
        <w:spacing w:before="240" w:after="240" w:line="240" w:lineRule="auto"/>
        <w:jc w:val="both"/>
        <w:rPr>
          <w:rFonts w:ascii="Calibri" w:eastAsia="Times New Roman" w:hAnsi="Calibri" w:cs="Calibri"/>
          <w:kern w:val="0"/>
          <w:sz w:val="24"/>
          <w:szCs w:val="24"/>
          <w:lang w:val="id-ID"/>
          <w14:ligatures w14:val="none"/>
        </w:rPr>
      </w:pPr>
      <w:r w:rsidRPr="006B0B82">
        <w:rPr>
          <w:rFonts w:ascii="Calibri" w:eastAsia="Times New Roman" w:hAnsi="Calibri" w:cs="Calibri"/>
          <w:color w:val="000000"/>
          <w:kern w:val="0"/>
          <w:sz w:val="24"/>
          <w:szCs w:val="24"/>
          <w:lang w:val="id-ID"/>
          <w14:ligatures w14:val="none"/>
        </w:rPr>
        <w:t xml:space="preserve">"Kita tidak boleh menutup mata terhadap </w:t>
      </w:r>
      <w:proofErr w:type="spellStart"/>
      <w:r w:rsidRPr="006B0B82">
        <w:rPr>
          <w:rFonts w:ascii="Calibri" w:eastAsia="Times New Roman" w:hAnsi="Calibri" w:cs="Calibri"/>
          <w:color w:val="000000"/>
          <w:kern w:val="0"/>
          <w:sz w:val="24"/>
          <w:szCs w:val="24"/>
          <w:lang w:val="id-ID"/>
          <w14:ligatures w14:val="none"/>
        </w:rPr>
        <w:t>moderasi</w:t>
      </w:r>
      <w:proofErr w:type="spellEnd"/>
      <w:r w:rsidRPr="006B0B82">
        <w:rPr>
          <w:rFonts w:ascii="Calibri" w:eastAsia="Times New Roman" w:hAnsi="Calibri" w:cs="Calibri"/>
          <w:color w:val="000000"/>
          <w:kern w:val="0"/>
          <w:sz w:val="24"/>
          <w:szCs w:val="24"/>
          <w:lang w:val="id-ID"/>
          <w14:ligatures w14:val="none"/>
        </w:rPr>
        <w:t xml:space="preserve"> yang mulai terjadi di awal 2026. Pelemahan tipis pada Februari dan Maret adalah alarm dini bahwa motor utama pertumbuhan kita, yaitu konsumsi rumah tangga, mulai mengalami kelelahan. Jika tidak ada intervensi kebijakan yang adaptif untuk menjaga daya beli, target pertumbuhan bisa meleset," tegasnya.</w:t>
      </w:r>
    </w:p>
    <w:p w14:paraId="0EF44807" w14:textId="77777777" w:rsidR="009908BE" w:rsidRPr="006B0B82" w:rsidRDefault="009908BE" w:rsidP="009908BE">
      <w:pPr>
        <w:spacing w:before="240" w:after="240" w:line="240" w:lineRule="auto"/>
        <w:jc w:val="both"/>
        <w:rPr>
          <w:rFonts w:ascii="Calibri" w:eastAsia="Times New Roman" w:hAnsi="Calibri" w:cs="Calibri"/>
          <w:kern w:val="0"/>
          <w:sz w:val="24"/>
          <w:szCs w:val="24"/>
          <w:lang w:val="id-ID"/>
          <w14:ligatures w14:val="none"/>
        </w:rPr>
      </w:pPr>
      <w:r w:rsidRPr="006B0B82">
        <w:rPr>
          <w:rFonts w:ascii="Calibri" w:eastAsia="Times New Roman" w:hAnsi="Calibri" w:cs="Calibri"/>
          <w:color w:val="000000"/>
          <w:kern w:val="0"/>
          <w:sz w:val="24"/>
          <w:szCs w:val="24"/>
          <w:lang w:val="id-ID"/>
          <w14:ligatures w14:val="none"/>
        </w:rPr>
        <w:t>Analisis historis selama 32 tahun terakhir membuktikan bahwa CLI memiliki akurasi yang tinggi dalam membaca titik balik siklus ekonomi Indonesia, termasuk saat krisis 1998 dan 2008. Oleh karena itu, NEXT Indonesia Center mendesak pemerintah untuk segera memperkuat porsi investasi dan ekspor yang saat ini masih berada di level 28,8% dan 22,8% dari PDB.</w:t>
      </w:r>
    </w:p>
    <w:p w14:paraId="4C7BF9A0" w14:textId="3DF097D2" w:rsidR="009908BE" w:rsidRPr="006B0B82" w:rsidRDefault="009908BE" w:rsidP="009908BE">
      <w:pPr>
        <w:spacing w:before="240" w:after="240" w:line="240" w:lineRule="auto"/>
        <w:jc w:val="both"/>
        <w:rPr>
          <w:rFonts w:ascii="Calibri" w:eastAsia="Times New Roman" w:hAnsi="Calibri" w:cs="Calibri"/>
          <w:kern w:val="0"/>
          <w:sz w:val="24"/>
          <w:szCs w:val="24"/>
          <w:lang w:val="id-ID"/>
          <w14:ligatures w14:val="none"/>
        </w:rPr>
      </w:pPr>
      <w:r w:rsidRPr="006B0B82">
        <w:rPr>
          <w:rFonts w:ascii="Calibri" w:eastAsia="Times New Roman" w:hAnsi="Calibri" w:cs="Calibri"/>
          <w:color w:val="000000"/>
          <w:kern w:val="0"/>
          <w:sz w:val="24"/>
          <w:szCs w:val="24"/>
          <w:lang w:val="id-ID"/>
          <w14:ligatures w14:val="none"/>
        </w:rPr>
        <w:t xml:space="preserve">"Sinyal CLI adalah kompas arah ekonomi. Saat ini kompas kita masih menunjuk ke arah pertumbuhan positif, namun pemerintah harus segera memperkuat kontribusi investasi dan ekspor agar daya tahan ekonomi tidak hanya bertumpu sendirian pada pundak konsumsi masyarakat," ungkap </w:t>
      </w:r>
      <w:r w:rsidR="00241410" w:rsidRPr="006B0B82">
        <w:rPr>
          <w:rFonts w:ascii="Calibri" w:eastAsia="Times New Roman" w:hAnsi="Calibri" w:cs="Calibri"/>
          <w:color w:val="000000"/>
          <w:kern w:val="0"/>
          <w:sz w:val="24"/>
          <w:szCs w:val="24"/>
          <w:lang w:val="id-ID"/>
          <w14:ligatures w14:val="none"/>
        </w:rPr>
        <w:t>Herry Gunawan</w:t>
      </w:r>
      <w:r w:rsidRPr="006B0B82">
        <w:rPr>
          <w:rFonts w:ascii="Calibri" w:eastAsia="Times New Roman" w:hAnsi="Calibri" w:cs="Calibri"/>
          <w:color w:val="000000"/>
          <w:kern w:val="0"/>
          <w:sz w:val="24"/>
          <w:szCs w:val="24"/>
          <w:lang w:val="id-ID"/>
          <w14:ligatures w14:val="none"/>
        </w:rPr>
        <w:t>. </w:t>
      </w:r>
    </w:p>
    <w:p w14:paraId="4CC79E1B" w14:textId="09EBAE39" w:rsidR="009908BE" w:rsidRPr="006B0B82" w:rsidRDefault="009908BE" w:rsidP="004A02C9">
      <w:pPr>
        <w:spacing w:after="240" w:line="240" w:lineRule="auto"/>
        <w:jc w:val="both"/>
        <w:rPr>
          <w:rFonts w:ascii="Calibri" w:eastAsia="Times New Roman" w:hAnsi="Calibri" w:cs="Calibri"/>
          <w:color w:val="000000"/>
          <w:kern w:val="0"/>
          <w:sz w:val="24"/>
          <w:szCs w:val="24"/>
          <w:lang w:val="id-ID"/>
          <w14:ligatures w14:val="none"/>
        </w:rPr>
      </w:pPr>
      <w:r w:rsidRPr="006B0B82">
        <w:rPr>
          <w:rFonts w:ascii="Calibri" w:eastAsia="Times New Roman" w:hAnsi="Calibri" w:cs="Calibri"/>
          <w:color w:val="000000"/>
          <w:kern w:val="0"/>
          <w:sz w:val="24"/>
          <w:szCs w:val="24"/>
          <w:lang w:val="id-ID"/>
          <w14:ligatures w14:val="none"/>
        </w:rPr>
        <w:t xml:space="preserve">Melalui hasil analisis  ini, NEXT Indonesia Center berharap para pemangku kebijakan dapat lebih waspada terhadap sinyal penurunan momentum ini. Kebijakan fiskal yang adaptif serta </w:t>
      </w:r>
      <w:r w:rsidRPr="006B0B82">
        <w:rPr>
          <w:rFonts w:ascii="Calibri" w:eastAsia="Times New Roman" w:hAnsi="Calibri" w:cs="Calibri"/>
          <w:color w:val="000000"/>
          <w:kern w:val="0"/>
          <w:sz w:val="24"/>
          <w:szCs w:val="24"/>
          <w:lang w:val="id-ID"/>
          <w14:ligatures w14:val="none"/>
        </w:rPr>
        <w:lastRenderedPageBreak/>
        <w:t xml:space="preserve">perlindungan terhadap daya beli masyarakat bawah menjadi krusial agar fase </w:t>
      </w:r>
      <w:proofErr w:type="spellStart"/>
      <w:r w:rsidRPr="006B0B82">
        <w:rPr>
          <w:rFonts w:ascii="Calibri" w:eastAsia="Times New Roman" w:hAnsi="Calibri" w:cs="Calibri"/>
          <w:color w:val="000000"/>
          <w:kern w:val="0"/>
          <w:sz w:val="24"/>
          <w:szCs w:val="24"/>
          <w:lang w:val="id-ID"/>
          <w14:ligatures w14:val="none"/>
        </w:rPr>
        <w:t>moderasi</w:t>
      </w:r>
      <w:proofErr w:type="spellEnd"/>
      <w:r w:rsidRPr="006B0B82">
        <w:rPr>
          <w:rFonts w:ascii="Calibri" w:eastAsia="Times New Roman" w:hAnsi="Calibri" w:cs="Calibri"/>
          <w:color w:val="000000"/>
          <w:kern w:val="0"/>
          <w:sz w:val="24"/>
          <w:szCs w:val="24"/>
          <w:lang w:val="id-ID"/>
          <w14:ligatures w14:val="none"/>
        </w:rPr>
        <w:t xml:space="preserve"> ini tidak berlanjut menjadi perlambatan yang lebih dalam.</w:t>
      </w:r>
    </w:p>
    <w:p w14:paraId="6F77FEDC" w14:textId="697941F1" w:rsidR="004A02C9" w:rsidRPr="00D55943" w:rsidRDefault="004A02C9" w:rsidP="004A02C9">
      <w:pPr>
        <w:spacing w:after="240" w:line="240" w:lineRule="auto"/>
        <w:jc w:val="both"/>
        <w:rPr>
          <w:rFonts w:ascii="Arial" w:eastAsia="Times New Roman" w:hAnsi="Arial" w:cs="Arial"/>
          <w:color w:val="000000"/>
          <w:kern w:val="0"/>
          <w:lang w:val="id-ID"/>
          <w14:ligatures w14:val="none"/>
        </w:rPr>
      </w:pPr>
    </w:p>
    <w:p w14:paraId="6A048BFC" w14:textId="72BA9214" w:rsidR="004A02C9" w:rsidRPr="00D55943" w:rsidRDefault="004A02C9" w:rsidP="004A02C9">
      <w:pPr>
        <w:spacing w:after="240" w:line="240" w:lineRule="auto"/>
        <w:jc w:val="both"/>
        <w:rPr>
          <w:rFonts w:ascii="Calibri" w:eastAsia="Times New Roman" w:hAnsi="Calibri" w:cs="Calibri"/>
          <w:b/>
          <w:bCs/>
          <w:kern w:val="0"/>
          <w:sz w:val="24"/>
          <w:szCs w:val="24"/>
          <w:lang w:val="id-ID"/>
          <w14:ligatures w14:val="none"/>
        </w:rPr>
      </w:pPr>
      <w:r w:rsidRPr="00D55943">
        <w:rPr>
          <w:rFonts w:ascii="Calibri" w:eastAsia="Times New Roman" w:hAnsi="Calibri" w:cs="Calibri"/>
          <w:b/>
          <w:bCs/>
          <w:color w:val="000000"/>
          <w:kern w:val="0"/>
          <w:sz w:val="24"/>
          <w:szCs w:val="24"/>
          <w:lang w:val="id-ID"/>
          <w14:ligatures w14:val="none"/>
        </w:rPr>
        <w:t xml:space="preserve">LAMPIRAN: </w:t>
      </w:r>
    </w:p>
    <w:p w14:paraId="594528B0" w14:textId="77777777" w:rsidR="004A02C9" w:rsidRPr="00D55943" w:rsidRDefault="004A02C9" w:rsidP="004A02C9">
      <w:pPr>
        <w:pStyle w:val="NormalWeb"/>
        <w:spacing w:before="0" w:beforeAutospacing="0" w:after="0" w:afterAutospacing="0"/>
        <w:jc w:val="center"/>
        <w:rPr>
          <w:rFonts w:ascii="Calibri" w:hAnsi="Calibri" w:cs="Calibri"/>
          <w:b/>
          <w:bCs/>
          <w:lang w:val="id-ID"/>
        </w:rPr>
      </w:pPr>
      <w:proofErr w:type="spellStart"/>
      <w:r w:rsidRPr="00D55943">
        <w:rPr>
          <w:rFonts w:ascii="Calibri" w:hAnsi="Calibri" w:cs="Calibri"/>
          <w:b/>
          <w:bCs/>
          <w:lang w:val="id-ID"/>
        </w:rPr>
        <w:t>Composite</w:t>
      </w:r>
      <w:proofErr w:type="spellEnd"/>
      <w:r w:rsidRPr="00D55943">
        <w:rPr>
          <w:rFonts w:ascii="Calibri" w:hAnsi="Calibri" w:cs="Calibri"/>
          <w:b/>
          <w:bCs/>
          <w:lang w:val="id-ID"/>
        </w:rPr>
        <w:t xml:space="preserve"> </w:t>
      </w:r>
      <w:proofErr w:type="spellStart"/>
      <w:r w:rsidRPr="00D55943">
        <w:rPr>
          <w:rFonts w:ascii="Calibri" w:hAnsi="Calibri" w:cs="Calibri"/>
          <w:b/>
          <w:bCs/>
          <w:lang w:val="id-ID"/>
        </w:rPr>
        <w:t>leading</w:t>
      </w:r>
      <w:proofErr w:type="spellEnd"/>
      <w:r w:rsidRPr="00D55943">
        <w:rPr>
          <w:rFonts w:ascii="Calibri" w:hAnsi="Calibri" w:cs="Calibri"/>
          <w:b/>
          <w:bCs/>
          <w:lang w:val="id-ID"/>
        </w:rPr>
        <w:t xml:space="preserve"> </w:t>
      </w:r>
      <w:proofErr w:type="spellStart"/>
      <w:r w:rsidRPr="00D55943">
        <w:rPr>
          <w:rFonts w:ascii="Calibri" w:hAnsi="Calibri" w:cs="Calibri"/>
          <w:b/>
          <w:bCs/>
          <w:lang w:val="id-ID"/>
        </w:rPr>
        <w:t>indicators</w:t>
      </w:r>
      <w:proofErr w:type="spellEnd"/>
      <w:r w:rsidRPr="00D55943">
        <w:rPr>
          <w:rFonts w:ascii="Calibri" w:hAnsi="Calibri" w:cs="Calibri"/>
          <w:b/>
          <w:bCs/>
          <w:lang w:val="id-ID"/>
        </w:rPr>
        <w:t xml:space="preserve"> (CLI)</w:t>
      </w:r>
    </w:p>
    <w:p w14:paraId="4D36D8DB" w14:textId="77777777" w:rsidR="004A02C9" w:rsidRPr="00D55943" w:rsidRDefault="004A02C9" w:rsidP="004A02C9">
      <w:pPr>
        <w:pStyle w:val="NormalWeb"/>
        <w:spacing w:before="0" w:beforeAutospacing="0" w:after="0" w:afterAutospacing="0"/>
        <w:jc w:val="center"/>
        <w:rPr>
          <w:rFonts w:ascii="Calibri" w:hAnsi="Calibri" w:cs="Calibri"/>
          <w:b/>
          <w:bCs/>
          <w:color w:val="7F7F7F" w:themeColor="text1" w:themeTint="80"/>
          <w:lang w:val="id-ID"/>
        </w:rPr>
      </w:pPr>
      <w:r w:rsidRPr="00D55943">
        <w:rPr>
          <w:rFonts w:ascii="Calibri" w:hAnsi="Calibri" w:cs="Calibri"/>
          <w:b/>
          <w:bCs/>
          <w:color w:val="7F7F7F" w:themeColor="text1" w:themeTint="80"/>
          <w:lang w:val="id-ID"/>
        </w:rPr>
        <w:t>Indonesia Dibandingkan Sejumlah Negara</w:t>
      </w:r>
    </w:p>
    <w:p w14:paraId="4C2A1922" w14:textId="77777777" w:rsidR="004A02C9" w:rsidRPr="00D55943" w:rsidRDefault="004A02C9" w:rsidP="004A02C9">
      <w:pPr>
        <w:pStyle w:val="NormalWeb"/>
        <w:spacing w:before="0" w:beforeAutospacing="0" w:after="0" w:afterAutospacing="0"/>
        <w:jc w:val="center"/>
        <w:rPr>
          <w:rFonts w:ascii="Calibri" w:hAnsi="Calibri" w:cs="Calibri"/>
          <w:b/>
          <w:bCs/>
          <w:lang w:val="id-ID"/>
        </w:rPr>
      </w:pPr>
    </w:p>
    <w:tbl>
      <w:tblPr>
        <w:tblStyle w:val="TableGrid"/>
        <w:tblW w:w="11199" w:type="dxa"/>
        <w:tblInd w:w="-856" w:type="dxa"/>
        <w:tblLayout w:type="fixed"/>
        <w:tblLook w:val="04A0" w:firstRow="1" w:lastRow="0" w:firstColumn="1" w:lastColumn="0" w:noHBand="0" w:noVBand="1"/>
      </w:tblPr>
      <w:tblGrid>
        <w:gridCol w:w="1203"/>
        <w:gridCol w:w="847"/>
        <w:gridCol w:w="829"/>
        <w:gridCol w:w="829"/>
        <w:gridCol w:w="829"/>
        <w:gridCol w:w="829"/>
        <w:gridCol w:w="829"/>
        <w:gridCol w:w="829"/>
        <w:gridCol w:w="829"/>
        <w:gridCol w:w="829"/>
        <w:gridCol w:w="829"/>
        <w:gridCol w:w="829"/>
        <w:gridCol w:w="859"/>
      </w:tblGrid>
      <w:tr w:rsidR="004A02C9" w:rsidRPr="00D55943" w14:paraId="66A5FD6B" w14:textId="77777777" w:rsidTr="00105682">
        <w:trPr>
          <w:trHeight w:val="300"/>
        </w:trPr>
        <w:tc>
          <w:tcPr>
            <w:tcW w:w="1203" w:type="dxa"/>
            <w:vMerge w:val="restart"/>
            <w:noWrap/>
            <w:vAlign w:val="center"/>
            <w:hideMark/>
          </w:tcPr>
          <w:p w14:paraId="06130373" w14:textId="77777777" w:rsidR="004A02C9" w:rsidRPr="00D55943" w:rsidRDefault="004A02C9" w:rsidP="00105682">
            <w:pPr>
              <w:pStyle w:val="NormalWeb"/>
              <w:jc w:val="center"/>
              <w:rPr>
                <w:rFonts w:ascii="Calibri" w:hAnsi="Calibri" w:cs="Calibri"/>
                <w:b/>
                <w:bCs/>
                <w:sz w:val="22"/>
                <w:szCs w:val="22"/>
                <w:lang w:val="id-ID"/>
              </w:rPr>
            </w:pPr>
            <w:r w:rsidRPr="00D55943">
              <w:rPr>
                <w:rFonts w:ascii="Calibri" w:hAnsi="Calibri" w:cs="Calibri"/>
                <w:b/>
                <w:bCs/>
                <w:sz w:val="22"/>
                <w:szCs w:val="22"/>
                <w:lang w:val="id-ID"/>
              </w:rPr>
              <w:t>Negara</w:t>
            </w:r>
          </w:p>
        </w:tc>
        <w:tc>
          <w:tcPr>
            <w:tcW w:w="7479" w:type="dxa"/>
            <w:gridSpan w:val="9"/>
            <w:noWrap/>
            <w:vAlign w:val="center"/>
            <w:hideMark/>
          </w:tcPr>
          <w:p w14:paraId="2277FAF1" w14:textId="77777777" w:rsidR="004A02C9" w:rsidRPr="00D55943" w:rsidRDefault="004A02C9" w:rsidP="00105682">
            <w:pPr>
              <w:pStyle w:val="NormalWeb"/>
              <w:jc w:val="center"/>
              <w:rPr>
                <w:rFonts w:ascii="Calibri" w:hAnsi="Calibri" w:cs="Calibri"/>
                <w:b/>
                <w:bCs/>
                <w:sz w:val="22"/>
                <w:szCs w:val="22"/>
                <w:lang w:val="id-ID"/>
              </w:rPr>
            </w:pPr>
            <w:r w:rsidRPr="00D55943">
              <w:rPr>
                <w:rFonts w:ascii="Calibri" w:hAnsi="Calibri" w:cs="Calibri"/>
                <w:b/>
                <w:bCs/>
                <w:sz w:val="22"/>
                <w:szCs w:val="22"/>
                <w:lang w:val="id-ID"/>
              </w:rPr>
              <w:t>2025</w:t>
            </w:r>
          </w:p>
        </w:tc>
        <w:tc>
          <w:tcPr>
            <w:tcW w:w="2517" w:type="dxa"/>
            <w:gridSpan w:val="3"/>
            <w:noWrap/>
            <w:vAlign w:val="center"/>
          </w:tcPr>
          <w:p w14:paraId="6FE2B0D0" w14:textId="77777777" w:rsidR="004A02C9" w:rsidRPr="00D55943" w:rsidRDefault="004A02C9" w:rsidP="00105682">
            <w:pPr>
              <w:pStyle w:val="NormalWeb"/>
              <w:jc w:val="center"/>
              <w:rPr>
                <w:rFonts w:ascii="Calibri" w:hAnsi="Calibri" w:cs="Calibri"/>
                <w:b/>
                <w:bCs/>
                <w:sz w:val="22"/>
                <w:szCs w:val="22"/>
                <w:lang w:val="id-ID"/>
              </w:rPr>
            </w:pPr>
            <w:r w:rsidRPr="00D55943">
              <w:rPr>
                <w:rFonts w:ascii="Calibri" w:hAnsi="Calibri" w:cs="Calibri"/>
                <w:b/>
                <w:bCs/>
                <w:sz w:val="22"/>
                <w:szCs w:val="22"/>
                <w:lang w:val="id-ID"/>
              </w:rPr>
              <w:t>2026</w:t>
            </w:r>
          </w:p>
        </w:tc>
      </w:tr>
      <w:tr w:rsidR="004A02C9" w:rsidRPr="00D55943" w14:paraId="5C7263B3" w14:textId="77777777" w:rsidTr="00105682">
        <w:trPr>
          <w:trHeight w:val="300"/>
        </w:trPr>
        <w:tc>
          <w:tcPr>
            <w:tcW w:w="1203" w:type="dxa"/>
            <w:vMerge/>
            <w:noWrap/>
          </w:tcPr>
          <w:p w14:paraId="08F7D468" w14:textId="77777777" w:rsidR="004A02C9" w:rsidRPr="00D55943" w:rsidRDefault="004A02C9" w:rsidP="00105682">
            <w:pPr>
              <w:pStyle w:val="NormalWeb"/>
              <w:jc w:val="both"/>
              <w:rPr>
                <w:rFonts w:ascii="Calibri" w:hAnsi="Calibri" w:cs="Calibri"/>
                <w:b/>
                <w:bCs/>
                <w:sz w:val="22"/>
                <w:szCs w:val="22"/>
                <w:lang w:val="id-ID"/>
              </w:rPr>
            </w:pPr>
          </w:p>
        </w:tc>
        <w:tc>
          <w:tcPr>
            <w:tcW w:w="847" w:type="dxa"/>
            <w:noWrap/>
          </w:tcPr>
          <w:p w14:paraId="269C47CA" w14:textId="77777777" w:rsidR="004A02C9" w:rsidRPr="00D55943" w:rsidRDefault="004A02C9" w:rsidP="00105682">
            <w:pPr>
              <w:pStyle w:val="NormalWeb"/>
              <w:jc w:val="both"/>
              <w:rPr>
                <w:rFonts w:ascii="Calibri" w:hAnsi="Calibri" w:cs="Calibri"/>
                <w:b/>
                <w:bCs/>
                <w:sz w:val="22"/>
                <w:szCs w:val="22"/>
                <w:lang w:val="id-ID"/>
              </w:rPr>
            </w:pPr>
            <w:proofErr w:type="spellStart"/>
            <w:r w:rsidRPr="00D55943">
              <w:rPr>
                <w:rFonts w:ascii="Calibri" w:hAnsi="Calibri" w:cs="Calibri"/>
                <w:b/>
                <w:bCs/>
                <w:sz w:val="22"/>
                <w:szCs w:val="22"/>
                <w:lang w:val="id-ID"/>
              </w:rPr>
              <w:t>Apr</w:t>
            </w:r>
            <w:proofErr w:type="spellEnd"/>
          </w:p>
        </w:tc>
        <w:tc>
          <w:tcPr>
            <w:tcW w:w="829" w:type="dxa"/>
            <w:noWrap/>
          </w:tcPr>
          <w:p w14:paraId="547AD817" w14:textId="77777777" w:rsidR="004A02C9" w:rsidRPr="00D55943" w:rsidRDefault="004A02C9" w:rsidP="00105682">
            <w:pPr>
              <w:pStyle w:val="NormalWeb"/>
              <w:jc w:val="both"/>
              <w:rPr>
                <w:rFonts w:ascii="Calibri" w:hAnsi="Calibri" w:cs="Calibri"/>
                <w:b/>
                <w:bCs/>
                <w:sz w:val="22"/>
                <w:szCs w:val="22"/>
                <w:lang w:val="id-ID"/>
              </w:rPr>
            </w:pPr>
            <w:r w:rsidRPr="00D55943">
              <w:rPr>
                <w:rFonts w:ascii="Calibri" w:hAnsi="Calibri" w:cs="Calibri"/>
                <w:b/>
                <w:bCs/>
                <w:sz w:val="22"/>
                <w:szCs w:val="22"/>
                <w:lang w:val="id-ID"/>
              </w:rPr>
              <w:t>Mei</w:t>
            </w:r>
          </w:p>
        </w:tc>
        <w:tc>
          <w:tcPr>
            <w:tcW w:w="829" w:type="dxa"/>
            <w:noWrap/>
          </w:tcPr>
          <w:p w14:paraId="07C0BDAE" w14:textId="77777777" w:rsidR="004A02C9" w:rsidRPr="00D55943" w:rsidRDefault="004A02C9" w:rsidP="00105682">
            <w:pPr>
              <w:pStyle w:val="NormalWeb"/>
              <w:jc w:val="both"/>
              <w:rPr>
                <w:rFonts w:ascii="Calibri" w:hAnsi="Calibri" w:cs="Calibri"/>
                <w:b/>
                <w:bCs/>
                <w:sz w:val="22"/>
                <w:szCs w:val="22"/>
                <w:lang w:val="id-ID"/>
              </w:rPr>
            </w:pPr>
            <w:r w:rsidRPr="00D55943">
              <w:rPr>
                <w:rFonts w:ascii="Calibri" w:hAnsi="Calibri" w:cs="Calibri"/>
                <w:b/>
                <w:bCs/>
                <w:sz w:val="22"/>
                <w:szCs w:val="22"/>
                <w:lang w:val="id-ID"/>
              </w:rPr>
              <w:t>Jun</w:t>
            </w:r>
          </w:p>
        </w:tc>
        <w:tc>
          <w:tcPr>
            <w:tcW w:w="829" w:type="dxa"/>
            <w:noWrap/>
          </w:tcPr>
          <w:p w14:paraId="08396F17" w14:textId="77777777" w:rsidR="004A02C9" w:rsidRPr="00D55943" w:rsidRDefault="004A02C9" w:rsidP="00105682">
            <w:pPr>
              <w:pStyle w:val="NormalWeb"/>
              <w:jc w:val="both"/>
              <w:rPr>
                <w:rFonts w:ascii="Calibri" w:hAnsi="Calibri" w:cs="Calibri"/>
                <w:b/>
                <w:bCs/>
                <w:sz w:val="22"/>
                <w:szCs w:val="22"/>
                <w:lang w:val="id-ID"/>
              </w:rPr>
            </w:pPr>
            <w:r w:rsidRPr="00D55943">
              <w:rPr>
                <w:rFonts w:ascii="Calibri" w:hAnsi="Calibri" w:cs="Calibri"/>
                <w:b/>
                <w:bCs/>
                <w:sz w:val="22"/>
                <w:szCs w:val="22"/>
                <w:lang w:val="id-ID"/>
              </w:rPr>
              <w:t>Jul</w:t>
            </w:r>
          </w:p>
        </w:tc>
        <w:tc>
          <w:tcPr>
            <w:tcW w:w="829" w:type="dxa"/>
            <w:noWrap/>
          </w:tcPr>
          <w:p w14:paraId="1E6785A5" w14:textId="77777777" w:rsidR="004A02C9" w:rsidRPr="00D55943" w:rsidRDefault="004A02C9" w:rsidP="00105682">
            <w:pPr>
              <w:pStyle w:val="NormalWeb"/>
              <w:jc w:val="both"/>
              <w:rPr>
                <w:rFonts w:ascii="Calibri" w:hAnsi="Calibri" w:cs="Calibri"/>
                <w:b/>
                <w:bCs/>
                <w:sz w:val="22"/>
                <w:szCs w:val="22"/>
                <w:lang w:val="id-ID"/>
              </w:rPr>
            </w:pPr>
            <w:proofErr w:type="spellStart"/>
            <w:r w:rsidRPr="00D55943">
              <w:rPr>
                <w:rFonts w:ascii="Calibri" w:hAnsi="Calibri" w:cs="Calibri"/>
                <w:b/>
                <w:bCs/>
                <w:sz w:val="22"/>
                <w:szCs w:val="22"/>
                <w:lang w:val="id-ID"/>
              </w:rPr>
              <w:t>Agt</w:t>
            </w:r>
            <w:proofErr w:type="spellEnd"/>
          </w:p>
        </w:tc>
        <w:tc>
          <w:tcPr>
            <w:tcW w:w="829" w:type="dxa"/>
            <w:noWrap/>
          </w:tcPr>
          <w:p w14:paraId="047EDEF1" w14:textId="77777777" w:rsidR="004A02C9" w:rsidRPr="00D55943" w:rsidRDefault="004A02C9" w:rsidP="00105682">
            <w:pPr>
              <w:pStyle w:val="NormalWeb"/>
              <w:jc w:val="both"/>
              <w:rPr>
                <w:rFonts w:ascii="Calibri" w:hAnsi="Calibri" w:cs="Calibri"/>
                <w:b/>
                <w:bCs/>
                <w:sz w:val="22"/>
                <w:szCs w:val="22"/>
                <w:lang w:val="id-ID"/>
              </w:rPr>
            </w:pPr>
            <w:r w:rsidRPr="00D55943">
              <w:rPr>
                <w:rFonts w:ascii="Calibri" w:hAnsi="Calibri" w:cs="Calibri"/>
                <w:b/>
                <w:bCs/>
                <w:sz w:val="22"/>
                <w:szCs w:val="22"/>
                <w:lang w:val="id-ID"/>
              </w:rPr>
              <w:t>Sep</w:t>
            </w:r>
          </w:p>
        </w:tc>
        <w:tc>
          <w:tcPr>
            <w:tcW w:w="829" w:type="dxa"/>
            <w:noWrap/>
          </w:tcPr>
          <w:p w14:paraId="123B686B" w14:textId="77777777" w:rsidR="004A02C9" w:rsidRPr="00D55943" w:rsidRDefault="004A02C9" w:rsidP="00105682">
            <w:pPr>
              <w:pStyle w:val="NormalWeb"/>
              <w:jc w:val="both"/>
              <w:rPr>
                <w:rFonts w:ascii="Calibri" w:hAnsi="Calibri" w:cs="Calibri"/>
                <w:b/>
                <w:bCs/>
                <w:sz w:val="22"/>
                <w:szCs w:val="22"/>
                <w:lang w:val="id-ID"/>
              </w:rPr>
            </w:pPr>
            <w:proofErr w:type="spellStart"/>
            <w:r w:rsidRPr="00D55943">
              <w:rPr>
                <w:rFonts w:ascii="Calibri" w:hAnsi="Calibri" w:cs="Calibri"/>
                <w:b/>
                <w:bCs/>
                <w:sz w:val="22"/>
                <w:szCs w:val="22"/>
                <w:lang w:val="id-ID"/>
              </w:rPr>
              <w:t>Okt</w:t>
            </w:r>
            <w:proofErr w:type="spellEnd"/>
          </w:p>
        </w:tc>
        <w:tc>
          <w:tcPr>
            <w:tcW w:w="829" w:type="dxa"/>
            <w:noWrap/>
          </w:tcPr>
          <w:p w14:paraId="0C219270" w14:textId="77777777" w:rsidR="004A02C9" w:rsidRPr="00D55943" w:rsidRDefault="004A02C9" w:rsidP="00105682">
            <w:pPr>
              <w:pStyle w:val="NormalWeb"/>
              <w:jc w:val="both"/>
              <w:rPr>
                <w:rFonts w:ascii="Calibri" w:hAnsi="Calibri" w:cs="Calibri"/>
                <w:b/>
                <w:bCs/>
                <w:sz w:val="22"/>
                <w:szCs w:val="22"/>
                <w:lang w:val="id-ID"/>
              </w:rPr>
            </w:pPr>
            <w:r w:rsidRPr="00D55943">
              <w:rPr>
                <w:rFonts w:ascii="Calibri" w:hAnsi="Calibri" w:cs="Calibri"/>
                <w:b/>
                <w:bCs/>
                <w:sz w:val="22"/>
                <w:szCs w:val="22"/>
                <w:lang w:val="id-ID"/>
              </w:rPr>
              <w:t>Nov</w:t>
            </w:r>
          </w:p>
        </w:tc>
        <w:tc>
          <w:tcPr>
            <w:tcW w:w="829" w:type="dxa"/>
            <w:noWrap/>
          </w:tcPr>
          <w:p w14:paraId="7EFB83B0" w14:textId="77777777" w:rsidR="004A02C9" w:rsidRPr="00D55943" w:rsidRDefault="004A02C9" w:rsidP="00105682">
            <w:pPr>
              <w:pStyle w:val="NormalWeb"/>
              <w:jc w:val="both"/>
              <w:rPr>
                <w:rFonts w:ascii="Calibri" w:hAnsi="Calibri" w:cs="Calibri"/>
                <w:b/>
                <w:bCs/>
                <w:sz w:val="22"/>
                <w:szCs w:val="22"/>
                <w:lang w:val="id-ID"/>
              </w:rPr>
            </w:pPr>
            <w:r w:rsidRPr="00D55943">
              <w:rPr>
                <w:rFonts w:ascii="Calibri" w:hAnsi="Calibri" w:cs="Calibri"/>
                <w:b/>
                <w:bCs/>
                <w:sz w:val="22"/>
                <w:szCs w:val="22"/>
                <w:lang w:val="id-ID"/>
              </w:rPr>
              <w:t>Des</w:t>
            </w:r>
          </w:p>
        </w:tc>
        <w:tc>
          <w:tcPr>
            <w:tcW w:w="829" w:type="dxa"/>
            <w:noWrap/>
          </w:tcPr>
          <w:p w14:paraId="11F7EF33" w14:textId="77777777" w:rsidR="004A02C9" w:rsidRPr="00D55943" w:rsidRDefault="004A02C9" w:rsidP="00105682">
            <w:pPr>
              <w:pStyle w:val="NormalWeb"/>
              <w:jc w:val="both"/>
              <w:rPr>
                <w:rFonts w:ascii="Calibri" w:hAnsi="Calibri" w:cs="Calibri"/>
                <w:b/>
                <w:bCs/>
                <w:sz w:val="22"/>
                <w:szCs w:val="22"/>
                <w:lang w:val="id-ID"/>
              </w:rPr>
            </w:pPr>
            <w:r w:rsidRPr="00D55943">
              <w:rPr>
                <w:rFonts w:ascii="Calibri" w:hAnsi="Calibri" w:cs="Calibri"/>
                <w:b/>
                <w:bCs/>
                <w:sz w:val="22"/>
                <w:szCs w:val="22"/>
                <w:lang w:val="id-ID"/>
              </w:rPr>
              <w:t>Jan</w:t>
            </w:r>
          </w:p>
        </w:tc>
        <w:tc>
          <w:tcPr>
            <w:tcW w:w="829" w:type="dxa"/>
            <w:noWrap/>
          </w:tcPr>
          <w:p w14:paraId="6FA03F88" w14:textId="77777777" w:rsidR="004A02C9" w:rsidRPr="00D55943" w:rsidRDefault="004A02C9" w:rsidP="00105682">
            <w:pPr>
              <w:pStyle w:val="NormalWeb"/>
              <w:jc w:val="both"/>
              <w:rPr>
                <w:rFonts w:ascii="Calibri" w:hAnsi="Calibri" w:cs="Calibri"/>
                <w:b/>
                <w:bCs/>
                <w:sz w:val="22"/>
                <w:szCs w:val="22"/>
                <w:lang w:val="id-ID"/>
              </w:rPr>
            </w:pPr>
            <w:r w:rsidRPr="00D55943">
              <w:rPr>
                <w:rFonts w:ascii="Calibri" w:hAnsi="Calibri" w:cs="Calibri"/>
                <w:b/>
                <w:bCs/>
                <w:sz w:val="22"/>
                <w:szCs w:val="22"/>
                <w:lang w:val="id-ID"/>
              </w:rPr>
              <w:t>Feb</w:t>
            </w:r>
          </w:p>
        </w:tc>
        <w:tc>
          <w:tcPr>
            <w:tcW w:w="859" w:type="dxa"/>
            <w:noWrap/>
          </w:tcPr>
          <w:p w14:paraId="71B23399" w14:textId="77777777" w:rsidR="004A02C9" w:rsidRPr="00D55943" w:rsidRDefault="004A02C9" w:rsidP="00105682">
            <w:pPr>
              <w:pStyle w:val="NormalWeb"/>
              <w:jc w:val="both"/>
              <w:rPr>
                <w:rFonts w:ascii="Calibri" w:hAnsi="Calibri" w:cs="Calibri"/>
                <w:b/>
                <w:bCs/>
                <w:sz w:val="22"/>
                <w:szCs w:val="22"/>
                <w:lang w:val="id-ID"/>
              </w:rPr>
            </w:pPr>
            <w:r w:rsidRPr="00D55943">
              <w:rPr>
                <w:rFonts w:ascii="Calibri" w:hAnsi="Calibri" w:cs="Calibri"/>
                <w:b/>
                <w:bCs/>
                <w:sz w:val="22"/>
                <w:szCs w:val="22"/>
                <w:lang w:val="id-ID"/>
              </w:rPr>
              <w:t>Mar</w:t>
            </w:r>
          </w:p>
        </w:tc>
      </w:tr>
      <w:tr w:rsidR="004A02C9" w:rsidRPr="00D55943" w14:paraId="6D7F8E45" w14:textId="77777777" w:rsidTr="00105682">
        <w:trPr>
          <w:trHeight w:val="300"/>
        </w:trPr>
        <w:tc>
          <w:tcPr>
            <w:tcW w:w="1203" w:type="dxa"/>
            <w:noWrap/>
            <w:hideMark/>
          </w:tcPr>
          <w:p w14:paraId="2B67B241" w14:textId="77777777" w:rsidR="004A02C9" w:rsidRPr="00D55943" w:rsidRDefault="004A02C9" w:rsidP="00105682">
            <w:pPr>
              <w:pStyle w:val="NormalWeb"/>
              <w:jc w:val="both"/>
              <w:rPr>
                <w:rFonts w:ascii="Calibri" w:hAnsi="Calibri" w:cs="Calibri"/>
                <w:sz w:val="22"/>
                <w:szCs w:val="22"/>
                <w:lang w:val="id-ID"/>
              </w:rPr>
            </w:pPr>
            <w:r w:rsidRPr="00D55943">
              <w:rPr>
                <w:rFonts w:ascii="Calibri" w:hAnsi="Calibri" w:cs="Calibri"/>
                <w:sz w:val="22"/>
                <w:szCs w:val="22"/>
                <w:lang w:val="id-ID"/>
              </w:rPr>
              <w:t>Tiongkok</w:t>
            </w:r>
          </w:p>
        </w:tc>
        <w:tc>
          <w:tcPr>
            <w:tcW w:w="847" w:type="dxa"/>
            <w:noWrap/>
            <w:hideMark/>
          </w:tcPr>
          <w:p w14:paraId="442E347D"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100,36 </w:t>
            </w:r>
          </w:p>
        </w:tc>
        <w:tc>
          <w:tcPr>
            <w:tcW w:w="829" w:type="dxa"/>
            <w:noWrap/>
            <w:hideMark/>
          </w:tcPr>
          <w:p w14:paraId="3BA08730"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100,21 </w:t>
            </w:r>
          </w:p>
        </w:tc>
        <w:tc>
          <w:tcPr>
            <w:tcW w:w="829" w:type="dxa"/>
            <w:noWrap/>
            <w:hideMark/>
          </w:tcPr>
          <w:p w14:paraId="186F05DF"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100,05 </w:t>
            </w:r>
          </w:p>
        </w:tc>
        <w:tc>
          <w:tcPr>
            <w:tcW w:w="829" w:type="dxa"/>
            <w:noWrap/>
            <w:hideMark/>
          </w:tcPr>
          <w:p w14:paraId="7640EFC9"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99,87 </w:t>
            </w:r>
          </w:p>
        </w:tc>
        <w:tc>
          <w:tcPr>
            <w:tcW w:w="829" w:type="dxa"/>
            <w:noWrap/>
            <w:hideMark/>
          </w:tcPr>
          <w:p w14:paraId="343BDF91"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99,69 </w:t>
            </w:r>
          </w:p>
        </w:tc>
        <w:tc>
          <w:tcPr>
            <w:tcW w:w="829" w:type="dxa"/>
            <w:noWrap/>
            <w:hideMark/>
          </w:tcPr>
          <w:p w14:paraId="77FC86BA"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99,50 </w:t>
            </w:r>
          </w:p>
        </w:tc>
        <w:tc>
          <w:tcPr>
            <w:tcW w:w="829" w:type="dxa"/>
            <w:noWrap/>
            <w:hideMark/>
          </w:tcPr>
          <w:p w14:paraId="2DC99198"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99,31 </w:t>
            </w:r>
          </w:p>
        </w:tc>
        <w:tc>
          <w:tcPr>
            <w:tcW w:w="829" w:type="dxa"/>
            <w:noWrap/>
            <w:hideMark/>
          </w:tcPr>
          <w:p w14:paraId="28E35028"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99,15 </w:t>
            </w:r>
          </w:p>
        </w:tc>
        <w:tc>
          <w:tcPr>
            <w:tcW w:w="829" w:type="dxa"/>
            <w:noWrap/>
            <w:hideMark/>
          </w:tcPr>
          <w:p w14:paraId="3386E380"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99,01 </w:t>
            </w:r>
          </w:p>
        </w:tc>
        <w:tc>
          <w:tcPr>
            <w:tcW w:w="829" w:type="dxa"/>
            <w:noWrap/>
            <w:hideMark/>
          </w:tcPr>
          <w:p w14:paraId="58D27E97"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98,92 </w:t>
            </w:r>
          </w:p>
        </w:tc>
        <w:tc>
          <w:tcPr>
            <w:tcW w:w="829" w:type="dxa"/>
            <w:noWrap/>
            <w:hideMark/>
          </w:tcPr>
          <w:p w14:paraId="1E4F3F93"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98,86 </w:t>
            </w:r>
          </w:p>
        </w:tc>
        <w:tc>
          <w:tcPr>
            <w:tcW w:w="859" w:type="dxa"/>
            <w:noWrap/>
            <w:hideMark/>
          </w:tcPr>
          <w:p w14:paraId="6146A046"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98,84 </w:t>
            </w:r>
          </w:p>
        </w:tc>
      </w:tr>
      <w:tr w:rsidR="004A02C9" w:rsidRPr="00D55943" w14:paraId="2D133004" w14:textId="77777777" w:rsidTr="00105682">
        <w:trPr>
          <w:trHeight w:val="300"/>
        </w:trPr>
        <w:tc>
          <w:tcPr>
            <w:tcW w:w="1203" w:type="dxa"/>
            <w:noWrap/>
            <w:hideMark/>
          </w:tcPr>
          <w:p w14:paraId="5181DC09" w14:textId="77777777" w:rsidR="004A02C9" w:rsidRPr="00D55943" w:rsidRDefault="004A02C9" w:rsidP="00105682">
            <w:pPr>
              <w:pStyle w:val="NormalWeb"/>
              <w:jc w:val="both"/>
              <w:rPr>
                <w:rFonts w:ascii="Calibri" w:hAnsi="Calibri" w:cs="Calibri"/>
                <w:sz w:val="22"/>
                <w:szCs w:val="22"/>
                <w:lang w:val="id-ID"/>
              </w:rPr>
            </w:pPr>
            <w:r w:rsidRPr="00D55943">
              <w:rPr>
                <w:rFonts w:ascii="Calibri" w:hAnsi="Calibri" w:cs="Calibri"/>
                <w:sz w:val="22"/>
                <w:szCs w:val="22"/>
                <w:lang w:val="id-ID"/>
              </w:rPr>
              <w:t>G20*</w:t>
            </w:r>
          </w:p>
        </w:tc>
        <w:tc>
          <w:tcPr>
            <w:tcW w:w="847" w:type="dxa"/>
            <w:noWrap/>
            <w:hideMark/>
          </w:tcPr>
          <w:p w14:paraId="7DE31F8E"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100,00 </w:t>
            </w:r>
          </w:p>
        </w:tc>
        <w:tc>
          <w:tcPr>
            <w:tcW w:w="829" w:type="dxa"/>
            <w:noWrap/>
            <w:hideMark/>
          </w:tcPr>
          <w:p w14:paraId="0D3E8612"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100,00 </w:t>
            </w:r>
          </w:p>
        </w:tc>
        <w:tc>
          <w:tcPr>
            <w:tcW w:w="829" w:type="dxa"/>
            <w:noWrap/>
            <w:hideMark/>
          </w:tcPr>
          <w:p w14:paraId="32AA2134"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100,00 </w:t>
            </w:r>
          </w:p>
        </w:tc>
        <w:tc>
          <w:tcPr>
            <w:tcW w:w="829" w:type="dxa"/>
            <w:noWrap/>
            <w:hideMark/>
          </w:tcPr>
          <w:p w14:paraId="43C8985D"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100,02 </w:t>
            </w:r>
          </w:p>
        </w:tc>
        <w:tc>
          <w:tcPr>
            <w:tcW w:w="829" w:type="dxa"/>
            <w:noWrap/>
            <w:hideMark/>
          </w:tcPr>
          <w:p w14:paraId="018A04C6"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100,05 </w:t>
            </w:r>
          </w:p>
        </w:tc>
        <w:tc>
          <w:tcPr>
            <w:tcW w:w="829" w:type="dxa"/>
            <w:noWrap/>
            <w:hideMark/>
          </w:tcPr>
          <w:p w14:paraId="26E5E35E"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100,08 </w:t>
            </w:r>
          </w:p>
        </w:tc>
        <w:tc>
          <w:tcPr>
            <w:tcW w:w="829" w:type="dxa"/>
            <w:noWrap/>
            <w:hideMark/>
          </w:tcPr>
          <w:p w14:paraId="5C5052E8"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100,13 </w:t>
            </w:r>
          </w:p>
        </w:tc>
        <w:tc>
          <w:tcPr>
            <w:tcW w:w="829" w:type="dxa"/>
            <w:noWrap/>
            <w:hideMark/>
          </w:tcPr>
          <w:p w14:paraId="108977BF"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100,18 </w:t>
            </w:r>
          </w:p>
        </w:tc>
        <w:tc>
          <w:tcPr>
            <w:tcW w:w="829" w:type="dxa"/>
            <w:noWrap/>
            <w:hideMark/>
          </w:tcPr>
          <w:p w14:paraId="04C393F0"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100,25 </w:t>
            </w:r>
          </w:p>
        </w:tc>
        <w:tc>
          <w:tcPr>
            <w:tcW w:w="829" w:type="dxa"/>
            <w:noWrap/>
            <w:hideMark/>
          </w:tcPr>
          <w:p w14:paraId="5E0EFE7B"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100,32 </w:t>
            </w:r>
          </w:p>
        </w:tc>
        <w:tc>
          <w:tcPr>
            <w:tcW w:w="829" w:type="dxa"/>
            <w:noWrap/>
            <w:hideMark/>
          </w:tcPr>
          <w:p w14:paraId="0045998B"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100,37 </w:t>
            </w:r>
          </w:p>
        </w:tc>
        <w:tc>
          <w:tcPr>
            <w:tcW w:w="859" w:type="dxa"/>
            <w:noWrap/>
            <w:hideMark/>
          </w:tcPr>
          <w:p w14:paraId="09200958"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100,42 </w:t>
            </w:r>
          </w:p>
        </w:tc>
      </w:tr>
      <w:tr w:rsidR="004A02C9" w:rsidRPr="00D55943" w14:paraId="3DE137D2" w14:textId="77777777" w:rsidTr="00105682">
        <w:trPr>
          <w:trHeight w:val="300"/>
        </w:trPr>
        <w:tc>
          <w:tcPr>
            <w:tcW w:w="1203" w:type="dxa"/>
            <w:noWrap/>
            <w:hideMark/>
          </w:tcPr>
          <w:p w14:paraId="5425D066" w14:textId="77777777" w:rsidR="004A02C9" w:rsidRPr="00D55943" w:rsidRDefault="004A02C9" w:rsidP="00105682">
            <w:pPr>
              <w:pStyle w:val="NormalWeb"/>
              <w:jc w:val="both"/>
              <w:rPr>
                <w:rFonts w:ascii="Calibri" w:hAnsi="Calibri" w:cs="Calibri"/>
                <w:sz w:val="22"/>
                <w:szCs w:val="22"/>
                <w:lang w:val="id-ID"/>
              </w:rPr>
            </w:pPr>
            <w:r w:rsidRPr="00D55943">
              <w:rPr>
                <w:rFonts w:ascii="Calibri" w:hAnsi="Calibri" w:cs="Calibri"/>
                <w:sz w:val="22"/>
                <w:szCs w:val="22"/>
                <w:lang w:val="id-ID"/>
              </w:rPr>
              <w:t>India</w:t>
            </w:r>
          </w:p>
        </w:tc>
        <w:tc>
          <w:tcPr>
            <w:tcW w:w="847" w:type="dxa"/>
            <w:noWrap/>
            <w:hideMark/>
          </w:tcPr>
          <w:p w14:paraId="49B8CA89"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99,95 </w:t>
            </w:r>
          </w:p>
        </w:tc>
        <w:tc>
          <w:tcPr>
            <w:tcW w:w="829" w:type="dxa"/>
            <w:noWrap/>
            <w:hideMark/>
          </w:tcPr>
          <w:p w14:paraId="513EB419"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100,07 </w:t>
            </w:r>
          </w:p>
        </w:tc>
        <w:tc>
          <w:tcPr>
            <w:tcW w:w="829" w:type="dxa"/>
            <w:noWrap/>
            <w:hideMark/>
          </w:tcPr>
          <w:p w14:paraId="6D90041D"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100,20 </w:t>
            </w:r>
          </w:p>
        </w:tc>
        <w:tc>
          <w:tcPr>
            <w:tcW w:w="829" w:type="dxa"/>
            <w:noWrap/>
            <w:hideMark/>
          </w:tcPr>
          <w:p w14:paraId="48FAAEFE"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100,34 </w:t>
            </w:r>
          </w:p>
        </w:tc>
        <w:tc>
          <w:tcPr>
            <w:tcW w:w="829" w:type="dxa"/>
            <w:noWrap/>
            <w:hideMark/>
          </w:tcPr>
          <w:p w14:paraId="541813D3"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100,48 </w:t>
            </w:r>
          </w:p>
        </w:tc>
        <w:tc>
          <w:tcPr>
            <w:tcW w:w="829" w:type="dxa"/>
            <w:noWrap/>
            <w:hideMark/>
          </w:tcPr>
          <w:p w14:paraId="3ABD5F6B"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100,62 </w:t>
            </w:r>
          </w:p>
        </w:tc>
        <w:tc>
          <w:tcPr>
            <w:tcW w:w="829" w:type="dxa"/>
            <w:noWrap/>
            <w:hideMark/>
          </w:tcPr>
          <w:p w14:paraId="0E025694"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100,76 </w:t>
            </w:r>
          </w:p>
        </w:tc>
        <w:tc>
          <w:tcPr>
            <w:tcW w:w="829" w:type="dxa"/>
            <w:noWrap/>
            <w:hideMark/>
          </w:tcPr>
          <w:p w14:paraId="0AC022EB"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100,89 </w:t>
            </w:r>
          </w:p>
        </w:tc>
        <w:tc>
          <w:tcPr>
            <w:tcW w:w="829" w:type="dxa"/>
            <w:noWrap/>
            <w:hideMark/>
          </w:tcPr>
          <w:p w14:paraId="080838DD"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101,01 </w:t>
            </w:r>
          </w:p>
        </w:tc>
        <w:tc>
          <w:tcPr>
            <w:tcW w:w="829" w:type="dxa"/>
            <w:noWrap/>
            <w:hideMark/>
          </w:tcPr>
          <w:p w14:paraId="3E7A1F32"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101,12 </w:t>
            </w:r>
          </w:p>
        </w:tc>
        <w:tc>
          <w:tcPr>
            <w:tcW w:w="829" w:type="dxa"/>
            <w:noWrap/>
            <w:hideMark/>
          </w:tcPr>
          <w:p w14:paraId="6E0BA1BF"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101,23 </w:t>
            </w:r>
          </w:p>
        </w:tc>
        <w:tc>
          <w:tcPr>
            <w:tcW w:w="859" w:type="dxa"/>
            <w:noWrap/>
            <w:hideMark/>
          </w:tcPr>
          <w:p w14:paraId="4F48FB65"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101,32 </w:t>
            </w:r>
          </w:p>
        </w:tc>
      </w:tr>
      <w:tr w:rsidR="004A02C9" w:rsidRPr="00D55943" w14:paraId="3A375E68" w14:textId="77777777" w:rsidTr="00105682">
        <w:trPr>
          <w:trHeight w:val="300"/>
        </w:trPr>
        <w:tc>
          <w:tcPr>
            <w:tcW w:w="1203" w:type="dxa"/>
            <w:shd w:val="clear" w:color="auto" w:fill="D9E2F3" w:themeFill="accent1" w:themeFillTint="33"/>
            <w:noWrap/>
            <w:hideMark/>
          </w:tcPr>
          <w:p w14:paraId="04273CDF" w14:textId="77777777" w:rsidR="004A02C9" w:rsidRPr="00D55943" w:rsidRDefault="004A02C9" w:rsidP="00105682">
            <w:pPr>
              <w:pStyle w:val="NormalWeb"/>
              <w:jc w:val="both"/>
              <w:rPr>
                <w:rFonts w:ascii="Calibri" w:hAnsi="Calibri" w:cs="Calibri"/>
                <w:sz w:val="22"/>
                <w:szCs w:val="22"/>
                <w:lang w:val="id-ID"/>
              </w:rPr>
            </w:pPr>
            <w:r w:rsidRPr="00D55943">
              <w:rPr>
                <w:rFonts w:ascii="Calibri" w:hAnsi="Calibri" w:cs="Calibri"/>
                <w:sz w:val="22"/>
                <w:szCs w:val="22"/>
                <w:lang w:val="id-ID"/>
              </w:rPr>
              <w:t>Indonesia</w:t>
            </w:r>
          </w:p>
        </w:tc>
        <w:tc>
          <w:tcPr>
            <w:tcW w:w="847" w:type="dxa"/>
            <w:shd w:val="clear" w:color="auto" w:fill="D9E2F3" w:themeFill="accent1" w:themeFillTint="33"/>
            <w:noWrap/>
            <w:hideMark/>
          </w:tcPr>
          <w:p w14:paraId="7056F8B9"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99,84 </w:t>
            </w:r>
          </w:p>
        </w:tc>
        <w:tc>
          <w:tcPr>
            <w:tcW w:w="829" w:type="dxa"/>
            <w:shd w:val="clear" w:color="auto" w:fill="D9E2F3" w:themeFill="accent1" w:themeFillTint="33"/>
            <w:noWrap/>
            <w:hideMark/>
          </w:tcPr>
          <w:p w14:paraId="5390B682"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99,88 </w:t>
            </w:r>
          </w:p>
        </w:tc>
        <w:tc>
          <w:tcPr>
            <w:tcW w:w="829" w:type="dxa"/>
            <w:shd w:val="clear" w:color="auto" w:fill="D9E2F3" w:themeFill="accent1" w:themeFillTint="33"/>
            <w:noWrap/>
            <w:hideMark/>
          </w:tcPr>
          <w:p w14:paraId="71B6893E"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99,96 </w:t>
            </w:r>
          </w:p>
        </w:tc>
        <w:tc>
          <w:tcPr>
            <w:tcW w:w="829" w:type="dxa"/>
            <w:shd w:val="clear" w:color="auto" w:fill="D9E2F3" w:themeFill="accent1" w:themeFillTint="33"/>
            <w:noWrap/>
            <w:hideMark/>
          </w:tcPr>
          <w:p w14:paraId="02BBFE92"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100,07 </w:t>
            </w:r>
          </w:p>
        </w:tc>
        <w:tc>
          <w:tcPr>
            <w:tcW w:w="829" w:type="dxa"/>
            <w:shd w:val="clear" w:color="auto" w:fill="D9E2F3" w:themeFill="accent1" w:themeFillTint="33"/>
            <w:noWrap/>
            <w:hideMark/>
          </w:tcPr>
          <w:p w14:paraId="0121E203"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100,20 </w:t>
            </w:r>
          </w:p>
        </w:tc>
        <w:tc>
          <w:tcPr>
            <w:tcW w:w="829" w:type="dxa"/>
            <w:shd w:val="clear" w:color="auto" w:fill="D9E2F3" w:themeFill="accent1" w:themeFillTint="33"/>
            <w:noWrap/>
            <w:hideMark/>
          </w:tcPr>
          <w:p w14:paraId="0BE83EB3"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100,34 </w:t>
            </w:r>
          </w:p>
        </w:tc>
        <w:tc>
          <w:tcPr>
            <w:tcW w:w="829" w:type="dxa"/>
            <w:shd w:val="clear" w:color="auto" w:fill="D9E2F3" w:themeFill="accent1" w:themeFillTint="33"/>
            <w:noWrap/>
            <w:hideMark/>
          </w:tcPr>
          <w:p w14:paraId="67BA0693"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100,47 </w:t>
            </w:r>
          </w:p>
        </w:tc>
        <w:tc>
          <w:tcPr>
            <w:tcW w:w="829" w:type="dxa"/>
            <w:shd w:val="clear" w:color="auto" w:fill="D9E2F3" w:themeFill="accent1" w:themeFillTint="33"/>
            <w:noWrap/>
            <w:hideMark/>
          </w:tcPr>
          <w:p w14:paraId="669B3343"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100,56 </w:t>
            </w:r>
          </w:p>
        </w:tc>
        <w:tc>
          <w:tcPr>
            <w:tcW w:w="829" w:type="dxa"/>
            <w:shd w:val="clear" w:color="auto" w:fill="D9E2F3" w:themeFill="accent1" w:themeFillTint="33"/>
            <w:noWrap/>
            <w:hideMark/>
          </w:tcPr>
          <w:p w14:paraId="6B0A790A"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100,62 </w:t>
            </w:r>
          </w:p>
        </w:tc>
        <w:tc>
          <w:tcPr>
            <w:tcW w:w="829" w:type="dxa"/>
            <w:shd w:val="clear" w:color="auto" w:fill="D9E2F3" w:themeFill="accent1" w:themeFillTint="33"/>
            <w:noWrap/>
            <w:hideMark/>
          </w:tcPr>
          <w:p w14:paraId="0BD25D76"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100,63 </w:t>
            </w:r>
          </w:p>
        </w:tc>
        <w:tc>
          <w:tcPr>
            <w:tcW w:w="829" w:type="dxa"/>
            <w:shd w:val="clear" w:color="auto" w:fill="D9E2F3" w:themeFill="accent1" w:themeFillTint="33"/>
            <w:noWrap/>
            <w:hideMark/>
          </w:tcPr>
          <w:p w14:paraId="20582FD7" w14:textId="77777777" w:rsidR="004A02C9" w:rsidRPr="00D55943" w:rsidRDefault="004A02C9" w:rsidP="004A02C9">
            <w:pPr>
              <w:pStyle w:val="NormalWeb"/>
              <w:jc w:val="right"/>
              <w:rPr>
                <w:rFonts w:ascii="Calibri" w:hAnsi="Calibri" w:cs="Calibri"/>
                <w:color w:val="000000" w:themeColor="text1"/>
                <w:sz w:val="22"/>
                <w:szCs w:val="22"/>
                <w:lang w:val="id-ID"/>
              </w:rPr>
            </w:pPr>
            <w:r w:rsidRPr="00D55943">
              <w:rPr>
                <w:rFonts w:ascii="Calibri" w:hAnsi="Calibri" w:cs="Calibri"/>
                <w:color w:val="000000" w:themeColor="text1"/>
                <w:sz w:val="22"/>
                <w:szCs w:val="22"/>
                <w:lang w:val="id-ID"/>
              </w:rPr>
              <w:t xml:space="preserve">100,59 </w:t>
            </w:r>
          </w:p>
        </w:tc>
        <w:tc>
          <w:tcPr>
            <w:tcW w:w="859" w:type="dxa"/>
            <w:shd w:val="clear" w:color="auto" w:fill="D9E2F3" w:themeFill="accent1" w:themeFillTint="33"/>
            <w:noWrap/>
            <w:hideMark/>
          </w:tcPr>
          <w:p w14:paraId="723018E1" w14:textId="77777777" w:rsidR="004A02C9" w:rsidRPr="00D55943" w:rsidRDefault="004A02C9" w:rsidP="004A02C9">
            <w:pPr>
              <w:pStyle w:val="NormalWeb"/>
              <w:jc w:val="right"/>
              <w:rPr>
                <w:rFonts w:ascii="Calibri" w:hAnsi="Calibri" w:cs="Calibri"/>
                <w:color w:val="000000" w:themeColor="text1"/>
                <w:sz w:val="22"/>
                <w:szCs w:val="22"/>
                <w:lang w:val="id-ID"/>
              </w:rPr>
            </w:pPr>
            <w:r w:rsidRPr="00D55943">
              <w:rPr>
                <w:rFonts w:ascii="Calibri" w:hAnsi="Calibri" w:cs="Calibri"/>
                <w:color w:val="000000" w:themeColor="text1"/>
                <w:sz w:val="22"/>
                <w:szCs w:val="22"/>
                <w:lang w:val="id-ID"/>
              </w:rPr>
              <w:t xml:space="preserve">100,52 </w:t>
            </w:r>
          </w:p>
        </w:tc>
      </w:tr>
      <w:tr w:rsidR="004A02C9" w:rsidRPr="00D55943" w14:paraId="447762D3" w14:textId="77777777" w:rsidTr="00105682">
        <w:trPr>
          <w:trHeight w:val="300"/>
        </w:trPr>
        <w:tc>
          <w:tcPr>
            <w:tcW w:w="1203" w:type="dxa"/>
            <w:noWrap/>
            <w:hideMark/>
          </w:tcPr>
          <w:p w14:paraId="792DA08E" w14:textId="77777777" w:rsidR="004A02C9" w:rsidRPr="00D55943" w:rsidRDefault="004A02C9" w:rsidP="00105682">
            <w:pPr>
              <w:pStyle w:val="NormalWeb"/>
              <w:jc w:val="both"/>
              <w:rPr>
                <w:rFonts w:ascii="Calibri" w:hAnsi="Calibri" w:cs="Calibri"/>
                <w:sz w:val="22"/>
                <w:szCs w:val="22"/>
                <w:lang w:val="id-ID"/>
              </w:rPr>
            </w:pPr>
            <w:r w:rsidRPr="00D55943">
              <w:rPr>
                <w:rFonts w:ascii="Calibri" w:hAnsi="Calibri" w:cs="Calibri"/>
                <w:sz w:val="22"/>
                <w:szCs w:val="22"/>
                <w:lang w:val="id-ID"/>
              </w:rPr>
              <w:t>5 Ekonomi Utama Asia**</w:t>
            </w:r>
          </w:p>
        </w:tc>
        <w:tc>
          <w:tcPr>
            <w:tcW w:w="847" w:type="dxa"/>
            <w:noWrap/>
            <w:hideMark/>
          </w:tcPr>
          <w:p w14:paraId="6675738D"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                             100,15 </w:t>
            </w:r>
          </w:p>
        </w:tc>
        <w:tc>
          <w:tcPr>
            <w:tcW w:w="829" w:type="dxa"/>
            <w:noWrap/>
            <w:hideMark/>
          </w:tcPr>
          <w:p w14:paraId="42DECDC0"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      100,11 </w:t>
            </w:r>
          </w:p>
        </w:tc>
        <w:tc>
          <w:tcPr>
            <w:tcW w:w="829" w:type="dxa"/>
            <w:noWrap/>
            <w:hideMark/>
          </w:tcPr>
          <w:p w14:paraId="78881D4E"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      100,07 </w:t>
            </w:r>
          </w:p>
        </w:tc>
        <w:tc>
          <w:tcPr>
            <w:tcW w:w="829" w:type="dxa"/>
            <w:noWrap/>
            <w:hideMark/>
          </w:tcPr>
          <w:p w14:paraId="18D94262"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      100,02 </w:t>
            </w:r>
          </w:p>
        </w:tc>
        <w:tc>
          <w:tcPr>
            <w:tcW w:w="829" w:type="dxa"/>
            <w:noWrap/>
            <w:hideMark/>
          </w:tcPr>
          <w:p w14:paraId="61D4659E"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         99,98 </w:t>
            </w:r>
          </w:p>
        </w:tc>
        <w:tc>
          <w:tcPr>
            <w:tcW w:w="829" w:type="dxa"/>
            <w:noWrap/>
            <w:hideMark/>
          </w:tcPr>
          <w:p w14:paraId="2C4B4B32"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         99,94 </w:t>
            </w:r>
          </w:p>
        </w:tc>
        <w:tc>
          <w:tcPr>
            <w:tcW w:w="829" w:type="dxa"/>
            <w:noWrap/>
            <w:hideMark/>
          </w:tcPr>
          <w:p w14:paraId="5F908D1C"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         99,89 </w:t>
            </w:r>
          </w:p>
        </w:tc>
        <w:tc>
          <w:tcPr>
            <w:tcW w:w="829" w:type="dxa"/>
            <w:noWrap/>
            <w:hideMark/>
          </w:tcPr>
          <w:p w14:paraId="4782641B"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         99,86 </w:t>
            </w:r>
          </w:p>
        </w:tc>
        <w:tc>
          <w:tcPr>
            <w:tcW w:w="829" w:type="dxa"/>
            <w:noWrap/>
            <w:hideMark/>
          </w:tcPr>
          <w:p w14:paraId="70474017"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         99,83 </w:t>
            </w:r>
          </w:p>
        </w:tc>
        <w:tc>
          <w:tcPr>
            <w:tcW w:w="829" w:type="dxa"/>
            <w:noWrap/>
            <w:hideMark/>
          </w:tcPr>
          <w:p w14:paraId="78729BDA"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         99,82 </w:t>
            </w:r>
          </w:p>
        </w:tc>
        <w:tc>
          <w:tcPr>
            <w:tcW w:w="829" w:type="dxa"/>
            <w:noWrap/>
            <w:hideMark/>
          </w:tcPr>
          <w:p w14:paraId="5FD1F0CE"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         99,83 </w:t>
            </w:r>
          </w:p>
        </w:tc>
        <w:tc>
          <w:tcPr>
            <w:tcW w:w="859" w:type="dxa"/>
            <w:noWrap/>
            <w:hideMark/>
          </w:tcPr>
          <w:p w14:paraId="140FFD5C"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         99,85 </w:t>
            </w:r>
          </w:p>
        </w:tc>
      </w:tr>
      <w:tr w:rsidR="004A02C9" w:rsidRPr="00D55943" w14:paraId="45D50F07" w14:textId="77777777" w:rsidTr="00105682">
        <w:trPr>
          <w:trHeight w:val="300"/>
        </w:trPr>
        <w:tc>
          <w:tcPr>
            <w:tcW w:w="1203" w:type="dxa"/>
            <w:noWrap/>
            <w:hideMark/>
          </w:tcPr>
          <w:p w14:paraId="33171F88" w14:textId="77777777" w:rsidR="004A02C9" w:rsidRPr="00D55943" w:rsidRDefault="004A02C9" w:rsidP="00105682">
            <w:pPr>
              <w:pStyle w:val="NormalWeb"/>
              <w:jc w:val="both"/>
              <w:rPr>
                <w:rFonts w:ascii="Calibri" w:hAnsi="Calibri" w:cs="Calibri"/>
                <w:sz w:val="22"/>
                <w:szCs w:val="22"/>
                <w:lang w:val="id-ID"/>
              </w:rPr>
            </w:pPr>
            <w:r w:rsidRPr="00D55943">
              <w:rPr>
                <w:rFonts w:ascii="Calibri" w:hAnsi="Calibri" w:cs="Calibri"/>
                <w:sz w:val="22"/>
                <w:szCs w:val="22"/>
                <w:lang w:val="id-ID"/>
              </w:rPr>
              <w:t>Amerika Serikat</w:t>
            </w:r>
          </w:p>
        </w:tc>
        <w:tc>
          <w:tcPr>
            <w:tcW w:w="847" w:type="dxa"/>
            <w:noWrap/>
            <w:hideMark/>
          </w:tcPr>
          <w:p w14:paraId="192166F2"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99,76 </w:t>
            </w:r>
          </w:p>
        </w:tc>
        <w:tc>
          <w:tcPr>
            <w:tcW w:w="829" w:type="dxa"/>
            <w:noWrap/>
            <w:hideMark/>
          </w:tcPr>
          <w:p w14:paraId="317710C8"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99,75 </w:t>
            </w:r>
          </w:p>
        </w:tc>
        <w:tc>
          <w:tcPr>
            <w:tcW w:w="829" w:type="dxa"/>
            <w:noWrap/>
            <w:hideMark/>
          </w:tcPr>
          <w:p w14:paraId="3FCB8B58"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99,78 </w:t>
            </w:r>
          </w:p>
        </w:tc>
        <w:tc>
          <w:tcPr>
            <w:tcW w:w="829" w:type="dxa"/>
            <w:noWrap/>
            <w:hideMark/>
          </w:tcPr>
          <w:p w14:paraId="7EAD7BC4"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99,83 </w:t>
            </w:r>
          </w:p>
        </w:tc>
        <w:tc>
          <w:tcPr>
            <w:tcW w:w="829" w:type="dxa"/>
            <w:noWrap/>
            <w:hideMark/>
          </w:tcPr>
          <w:p w14:paraId="6072155F"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99,90 </w:t>
            </w:r>
          </w:p>
        </w:tc>
        <w:tc>
          <w:tcPr>
            <w:tcW w:w="829" w:type="dxa"/>
            <w:noWrap/>
            <w:hideMark/>
          </w:tcPr>
          <w:p w14:paraId="13AAD16E"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99,98 </w:t>
            </w:r>
          </w:p>
        </w:tc>
        <w:tc>
          <w:tcPr>
            <w:tcW w:w="829" w:type="dxa"/>
            <w:noWrap/>
            <w:hideMark/>
          </w:tcPr>
          <w:p w14:paraId="1B311C5D"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100,09 </w:t>
            </w:r>
          </w:p>
        </w:tc>
        <w:tc>
          <w:tcPr>
            <w:tcW w:w="829" w:type="dxa"/>
            <w:noWrap/>
            <w:hideMark/>
          </w:tcPr>
          <w:p w14:paraId="4619E67D"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100,23 </w:t>
            </w:r>
          </w:p>
        </w:tc>
        <w:tc>
          <w:tcPr>
            <w:tcW w:w="829" w:type="dxa"/>
            <w:noWrap/>
            <w:hideMark/>
          </w:tcPr>
          <w:p w14:paraId="6AAC26EB"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100,39 </w:t>
            </w:r>
          </w:p>
        </w:tc>
        <w:tc>
          <w:tcPr>
            <w:tcW w:w="829" w:type="dxa"/>
            <w:noWrap/>
            <w:hideMark/>
          </w:tcPr>
          <w:p w14:paraId="695DF995"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100,56 </w:t>
            </w:r>
          </w:p>
        </w:tc>
        <w:tc>
          <w:tcPr>
            <w:tcW w:w="829" w:type="dxa"/>
            <w:noWrap/>
            <w:hideMark/>
          </w:tcPr>
          <w:p w14:paraId="553CBEC4"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100,70 </w:t>
            </w:r>
          </w:p>
        </w:tc>
        <w:tc>
          <w:tcPr>
            <w:tcW w:w="859" w:type="dxa"/>
            <w:noWrap/>
            <w:hideMark/>
          </w:tcPr>
          <w:p w14:paraId="166F45CA" w14:textId="77777777" w:rsidR="004A02C9" w:rsidRPr="00D55943" w:rsidRDefault="004A02C9" w:rsidP="004A02C9">
            <w:pPr>
              <w:pStyle w:val="NormalWeb"/>
              <w:jc w:val="right"/>
              <w:rPr>
                <w:rFonts w:ascii="Calibri" w:hAnsi="Calibri" w:cs="Calibri"/>
                <w:sz w:val="22"/>
                <w:szCs w:val="22"/>
                <w:lang w:val="id-ID"/>
              </w:rPr>
            </w:pPr>
            <w:r w:rsidRPr="00D55943">
              <w:rPr>
                <w:rFonts w:ascii="Calibri" w:hAnsi="Calibri" w:cs="Calibri"/>
                <w:sz w:val="22"/>
                <w:szCs w:val="22"/>
                <w:lang w:val="id-ID"/>
              </w:rPr>
              <w:t xml:space="preserve">100,81 </w:t>
            </w:r>
          </w:p>
        </w:tc>
      </w:tr>
    </w:tbl>
    <w:p w14:paraId="4325529A" w14:textId="77777777" w:rsidR="004A02C9" w:rsidRPr="00D55943" w:rsidRDefault="004A02C9" w:rsidP="004A02C9">
      <w:pPr>
        <w:pStyle w:val="NormalWeb"/>
        <w:spacing w:before="0" w:beforeAutospacing="0" w:after="0" w:afterAutospacing="0"/>
        <w:jc w:val="both"/>
        <w:rPr>
          <w:rFonts w:ascii="Calibri" w:hAnsi="Calibri" w:cs="Calibri"/>
          <w:sz w:val="18"/>
          <w:szCs w:val="18"/>
          <w:lang w:val="id-ID"/>
        </w:rPr>
      </w:pPr>
    </w:p>
    <w:p w14:paraId="19AE65AC" w14:textId="7028E4C5" w:rsidR="004A02C9" w:rsidRPr="00D55943" w:rsidRDefault="004A02C9" w:rsidP="004A02C9">
      <w:pPr>
        <w:pStyle w:val="NormalWeb"/>
        <w:spacing w:before="0" w:beforeAutospacing="0" w:after="0" w:afterAutospacing="0"/>
        <w:jc w:val="both"/>
        <w:rPr>
          <w:rFonts w:ascii="Calibri" w:hAnsi="Calibri" w:cs="Calibri"/>
          <w:sz w:val="18"/>
          <w:szCs w:val="18"/>
          <w:lang w:val="id-ID"/>
        </w:rPr>
      </w:pPr>
      <w:r w:rsidRPr="00D55943">
        <w:rPr>
          <w:rFonts w:ascii="Calibri" w:hAnsi="Calibri" w:cs="Calibri"/>
          <w:sz w:val="18"/>
          <w:szCs w:val="18"/>
          <w:lang w:val="id-ID"/>
        </w:rPr>
        <w:t xml:space="preserve">Sumber: </w:t>
      </w:r>
      <w:proofErr w:type="spellStart"/>
      <w:r w:rsidR="00D323D2" w:rsidRPr="00D55943">
        <w:rPr>
          <w:rFonts w:ascii="Calibri" w:hAnsi="Calibri" w:cs="Calibri"/>
          <w:color w:val="000000"/>
          <w:sz w:val="18"/>
          <w:szCs w:val="18"/>
          <w:lang w:val="id-ID"/>
        </w:rPr>
        <w:t>Organization</w:t>
      </w:r>
      <w:proofErr w:type="spellEnd"/>
      <w:r w:rsidR="00D323D2" w:rsidRPr="00D55943">
        <w:rPr>
          <w:rFonts w:ascii="Calibri" w:hAnsi="Calibri" w:cs="Calibri"/>
          <w:color w:val="000000"/>
          <w:sz w:val="18"/>
          <w:szCs w:val="18"/>
          <w:lang w:val="id-ID"/>
        </w:rPr>
        <w:t xml:space="preserve"> </w:t>
      </w:r>
      <w:proofErr w:type="spellStart"/>
      <w:r w:rsidR="00D323D2" w:rsidRPr="00D55943">
        <w:rPr>
          <w:rFonts w:ascii="Calibri" w:hAnsi="Calibri" w:cs="Calibri"/>
          <w:color w:val="000000"/>
          <w:sz w:val="18"/>
          <w:szCs w:val="18"/>
          <w:lang w:val="id-ID"/>
        </w:rPr>
        <w:t>for</w:t>
      </w:r>
      <w:proofErr w:type="spellEnd"/>
      <w:r w:rsidR="00D323D2" w:rsidRPr="00D55943">
        <w:rPr>
          <w:rFonts w:ascii="Calibri" w:hAnsi="Calibri" w:cs="Calibri"/>
          <w:color w:val="000000"/>
          <w:sz w:val="18"/>
          <w:szCs w:val="18"/>
          <w:lang w:val="id-ID"/>
        </w:rPr>
        <w:t xml:space="preserve"> </w:t>
      </w:r>
      <w:proofErr w:type="spellStart"/>
      <w:r w:rsidR="00D323D2" w:rsidRPr="00D55943">
        <w:rPr>
          <w:rFonts w:ascii="Calibri" w:hAnsi="Calibri" w:cs="Calibri"/>
          <w:color w:val="000000"/>
          <w:sz w:val="18"/>
          <w:szCs w:val="18"/>
          <w:lang w:val="id-ID"/>
        </w:rPr>
        <w:t>Economic</w:t>
      </w:r>
      <w:proofErr w:type="spellEnd"/>
      <w:r w:rsidR="00D323D2" w:rsidRPr="00D55943">
        <w:rPr>
          <w:rFonts w:ascii="Calibri" w:hAnsi="Calibri" w:cs="Calibri"/>
          <w:color w:val="000000"/>
          <w:sz w:val="18"/>
          <w:szCs w:val="18"/>
          <w:lang w:val="id-ID"/>
        </w:rPr>
        <w:t xml:space="preserve"> Co-</w:t>
      </w:r>
      <w:proofErr w:type="spellStart"/>
      <w:r w:rsidR="00D323D2" w:rsidRPr="00D55943">
        <w:rPr>
          <w:rFonts w:ascii="Calibri" w:hAnsi="Calibri" w:cs="Calibri"/>
          <w:color w:val="000000"/>
          <w:sz w:val="18"/>
          <w:szCs w:val="18"/>
          <w:lang w:val="id-ID"/>
        </w:rPr>
        <w:t>operation</w:t>
      </w:r>
      <w:proofErr w:type="spellEnd"/>
      <w:r w:rsidR="00D323D2" w:rsidRPr="00D55943">
        <w:rPr>
          <w:rFonts w:ascii="Calibri" w:hAnsi="Calibri" w:cs="Calibri"/>
          <w:color w:val="000000"/>
          <w:sz w:val="18"/>
          <w:szCs w:val="18"/>
          <w:lang w:val="id-ID"/>
        </w:rPr>
        <w:t xml:space="preserve"> </w:t>
      </w:r>
      <w:proofErr w:type="spellStart"/>
      <w:r w:rsidR="00D323D2" w:rsidRPr="00D55943">
        <w:rPr>
          <w:rFonts w:ascii="Calibri" w:hAnsi="Calibri" w:cs="Calibri"/>
          <w:color w:val="000000"/>
          <w:sz w:val="18"/>
          <w:szCs w:val="18"/>
          <w:lang w:val="id-ID"/>
        </w:rPr>
        <w:t>and</w:t>
      </w:r>
      <w:proofErr w:type="spellEnd"/>
      <w:r w:rsidR="00D323D2" w:rsidRPr="00D55943">
        <w:rPr>
          <w:rFonts w:ascii="Calibri" w:hAnsi="Calibri" w:cs="Calibri"/>
          <w:color w:val="000000"/>
          <w:sz w:val="18"/>
          <w:szCs w:val="18"/>
          <w:lang w:val="id-ID"/>
        </w:rPr>
        <w:t xml:space="preserve"> Development </w:t>
      </w:r>
      <w:r w:rsidR="00D323D2" w:rsidRPr="00D55943">
        <w:rPr>
          <w:rFonts w:ascii="Calibri" w:hAnsi="Calibri" w:cs="Calibri"/>
          <w:sz w:val="18"/>
          <w:szCs w:val="18"/>
          <w:lang w:val="id-ID"/>
        </w:rPr>
        <w:t>(</w:t>
      </w:r>
      <w:r w:rsidR="00D323D2" w:rsidRPr="00D55943">
        <w:rPr>
          <w:rFonts w:ascii="Calibri" w:hAnsi="Calibri" w:cs="Calibri"/>
          <w:color w:val="000000"/>
          <w:sz w:val="18"/>
          <w:szCs w:val="18"/>
          <w:lang w:val="id-ID"/>
        </w:rPr>
        <w:t>OECD)</w:t>
      </w:r>
    </w:p>
    <w:p w14:paraId="527F4110" w14:textId="77777777" w:rsidR="004A02C9" w:rsidRPr="00D55943" w:rsidRDefault="004A02C9" w:rsidP="004A02C9">
      <w:pPr>
        <w:pStyle w:val="NormalWeb"/>
        <w:spacing w:before="0" w:beforeAutospacing="0" w:after="0" w:afterAutospacing="0"/>
        <w:jc w:val="both"/>
        <w:rPr>
          <w:rFonts w:ascii="Calibri" w:hAnsi="Calibri" w:cs="Calibri"/>
          <w:sz w:val="18"/>
          <w:szCs w:val="18"/>
          <w:lang w:val="id-ID"/>
        </w:rPr>
      </w:pPr>
      <w:r w:rsidRPr="00D55943">
        <w:rPr>
          <w:rFonts w:ascii="Calibri" w:hAnsi="Calibri" w:cs="Calibri"/>
          <w:sz w:val="18"/>
          <w:szCs w:val="18"/>
          <w:lang w:val="id-ID"/>
        </w:rPr>
        <w:t xml:space="preserve">Keterangan: </w:t>
      </w:r>
    </w:p>
    <w:p w14:paraId="76EFEAE3" w14:textId="77777777" w:rsidR="004A02C9" w:rsidRPr="00D55943" w:rsidRDefault="004A02C9" w:rsidP="004A02C9">
      <w:pPr>
        <w:pStyle w:val="NormalWeb"/>
        <w:spacing w:before="0" w:beforeAutospacing="0" w:after="0" w:afterAutospacing="0"/>
        <w:jc w:val="both"/>
        <w:rPr>
          <w:rFonts w:ascii="Calibri" w:hAnsi="Calibri" w:cs="Calibri"/>
          <w:sz w:val="18"/>
          <w:szCs w:val="18"/>
          <w:lang w:val="id-ID"/>
        </w:rPr>
      </w:pPr>
      <w:r w:rsidRPr="00D55943">
        <w:rPr>
          <w:rFonts w:ascii="Calibri" w:hAnsi="Calibri" w:cs="Calibri"/>
          <w:sz w:val="18"/>
          <w:szCs w:val="18"/>
          <w:lang w:val="id-ID"/>
        </w:rPr>
        <w:t>*</w:t>
      </w:r>
      <w:r w:rsidRPr="00D55943">
        <w:rPr>
          <w:sz w:val="18"/>
          <w:szCs w:val="18"/>
          <w:lang w:val="id-ID"/>
        </w:rPr>
        <w:t xml:space="preserve"> </w:t>
      </w:r>
      <w:r w:rsidRPr="00D55943">
        <w:rPr>
          <w:rFonts w:ascii="Calibri" w:hAnsi="Calibri" w:cs="Calibri"/>
          <w:sz w:val="18"/>
          <w:szCs w:val="18"/>
          <w:lang w:val="id-ID"/>
        </w:rPr>
        <w:t>Negara-negara G20 adalah Australia, Kanada, Prancis, Jerman, Italia, Jepang, Korea Selatan, Meksiko, Turki, Inggris Raya, Amerika Serikat, Brasil, Tiongkok, India, Indonesia, dan Afrika Selatan.</w:t>
      </w:r>
    </w:p>
    <w:p w14:paraId="6D12EBC4" w14:textId="77777777" w:rsidR="004A02C9" w:rsidRPr="00D55943" w:rsidRDefault="004A02C9" w:rsidP="004A02C9">
      <w:pPr>
        <w:pStyle w:val="NormalWeb"/>
        <w:spacing w:before="0" w:beforeAutospacing="0" w:after="0" w:afterAutospacing="0"/>
        <w:jc w:val="both"/>
        <w:rPr>
          <w:rFonts w:ascii="Calibri" w:hAnsi="Calibri" w:cs="Calibri"/>
          <w:lang w:val="id-ID"/>
        </w:rPr>
      </w:pPr>
      <w:r w:rsidRPr="00D55943">
        <w:rPr>
          <w:rFonts w:ascii="Calibri" w:hAnsi="Calibri" w:cs="Calibri"/>
          <w:sz w:val="18"/>
          <w:szCs w:val="18"/>
          <w:lang w:val="id-ID"/>
        </w:rPr>
        <w:t>** 5 Ekonomi Utama Asia adalah Tiongkok, India, Indonesia, Jepang, dan Korea Selatan.</w:t>
      </w:r>
    </w:p>
    <w:p w14:paraId="5118E44D" w14:textId="42FB5196" w:rsidR="004A02C9" w:rsidRPr="00D55943" w:rsidRDefault="004A02C9" w:rsidP="004A02C9">
      <w:pPr>
        <w:spacing w:after="240" w:line="240" w:lineRule="auto"/>
        <w:jc w:val="both"/>
        <w:rPr>
          <w:rFonts w:ascii="Times New Roman" w:eastAsia="Times New Roman" w:hAnsi="Times New Roman" w:cs="Times New Roman"/>
          <w:kern w:val="0"/>
          <w:sz w:val="24"/>
          <w:szCs w:val="24"/>
          <w:lang w:val="id-ID"/>
          <w14:ligatures w14:val="none"/>
        </w:rPr>
      </w:pPr>
    </w:p>
    <w:p w14:paraId="3E75CBBF" w14:textId="48163993" w:rsidR="004A02C9" w:rsidRPr="00D55943" w:rsidRDefault="004A02C9" w:rsidP="004A02C9">
      <w:pPr>
        <w:spacing w:after="240" w:line="240" w:lineRule="auto"/>
        <w:jc w:val="both"/>
        <w:rPr>
          <w:rFonts w:ascii="Times New Roman" w:eastAsia="Times New Roman" w:hAnsi="Times New Roman" w:cs="Times New Roman"/>
          <w:kern w:val="0"/>
          <w:sz w:val="24"/>
          <w:szCs w:val="24"/>
          <w:lang w:val="id-ID"/>
          <w14:ligatures w14:val="none"/>
        </w:rPr>
      </w:pPr>
    </w:p>
    <w:p w14:paraId="17AB986B" w14:textId="2D02F672" w:rsidR="004A02C9" w:rsidRPr="00D55943" w:rsidRDefault="004A02C9" w:rsidP="004A02C9">
      <w:pPr>
        <w:spacing w:after="240" w:line="240" w:lineRule="auto"/>
        <w:jc w:val="both"/>
        <w:rPr>
          <w:rFonts w:ascii="Times New Roman" w:eastAsia="Times New Roman" w:hAnsi="Times New Roman" w:cs="Times New Roman"/>
          <w:kern w:val="0"/>
          <w:sz w:val="24"/>
          <w:szCs w:val="24"/>
          <w:lang w:val="id-ID"/>
          <w14:ligatures w14:val="none"/>
        </w:rPr>
      </w:pPr>
    </w:p>
    <w:p w14:paraId="73D54F03" w14:textId="77777777" w:rsidR="004A02C9" w:rsidRPr="00D55943" w:rsidRDefault="004A02C9" w:rsidP="004A02C9">
      <w:pPr>
        <w:spacing w:after="240" w:line="240" w:lineRule="auto"/>
        <w:jc w:val="both"/>
        <w:rPr>
          <w:rFonts w:ascii="Times New Roman" w:eastAsia="Times New Roman" w:hAnsi="Times New Roman" w:cs="Times New Roman"/>
          <w:kern w:val="0"/>
          <w:sz w:val="24"/>
          <w:szCs w:val="24"/>
          <w:lang w:val="id-ID"/>
          <w14:ligatures w14:val="none"/>
        </w:rPr>
      </w:pPr>
    </w:p>
    <w:p w14:paraId="718379E3" w14:textId="77777777" w:rsidR="00E864AB" w:rsidRPr="00D55943" w:rsidRDefault="00E864AB" w:rsidP="00E864AB">
      <w:pPr>
        <w:spacing w:after="80"/>
        <w:rPr>
          <w:rFonts w:cstheme="minorHAnsi"/>
          <w:sz w:val="24"/>
          <w:szCs w:val="24"/>
          <w:lang w:val="id-ID"/>
        </w:rPr>
      </w:pPr>
      <w:r w:rsidRPr="00D55943">
        <w:rPr>
          <w:rFonts w:cstheme="minorHAnsi"/>
          <w:noProof/>
          <w:sz w:val="24"/>
          <w:szCs w:val="24"/>
          <w:lang w:val="id-ID"/>
          <w14:ligatures w14:val="none"/>
        </w:rPr>
        <mc:AlternateContent>
          <mc:Choice Requires="wps">
            <w:drawing>
              <wp:anchor distT="0" distB="0" distL="114300" distR="114300" simplePos="0" relativeHeight="251659264" behindDoc="0" locked="0" layoutInCell="1" allowOverlap="1" wp14:anchorId="12392EE7" wp14:editId="36C902AD">
                <wp:simplePos x="0" y="0"/>
                <wp:positionH relativeFrom="column">
                  <wp:posOffset>0</wp:posOffset>
                </wp:positionH>
                <wp:positionV relativeFrom="paragraph">
                  <wp:posOffset>87777</wp:posOffset>
                </wp:positionV>
                <wp:extent cx="5940403" cy="0"/>
                <wp:effectExtent l="0" t="0" r="16510" b="12700"/>
                <wp:wrapNone/>
                <wp:docPr id="1522025859" name="Straight Connector 2"/>
                <wp:cNvGraphicFramePr/>
                <a:graphic xmlns:a="http://schemas.openxmlformats.org/drawingml/2006/main">
                  <a:graphicData uri="http://schemas.microsoft.com/office/word/2010/wordprocessingShape">
                    <wps:wsp>
                      <wps:cNvCnPr/>
                      <wps:spPr>
                        <a:xfrm flipV="1">
                          <a:off x="0" y="0"/>
                          <a:ext cx="5940403"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4FA8C0"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9pt" to="467.75pt,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" strokecolor="black [3213]" strokeweight=".5pt">
                <v:stroke joinstyle="miter"/>
              </v:line>
            </w:pict>
          </mc:Fallback>
        </mc:AlternateContent>
      </w:r>
    </w:p>
    <w:p w14:paraId="5BE7DED7" w14:textId="77777777" w:rsidR="00E864AB" w:rsidRPr="00D55943" w:rsidRDefault="00E864AB" w:rsidP="00E864AB">
      <w:pPr>
        <w:spacing w:after="80"/>
        <w:rPr>
          <w:rFonts w:cstheme="minorHAnsi"/>
          <w:b/>
          <w:bCs/>
          <w:sz w:val="20"/>
          <w:szCs w:val="20"/>
          <w:lang w:val="id-ID"/>
        </w:rPr>
      </w:pPr>
      <w:r w:rsidRPr="00D55943">
        <w:rPr>
          <w:rFonts w:cstheme="minorHAnsi"/>
          <w:b/>
          <w:bCs/>
          <w:sz w:val="20"/>
          <w:szCs w:val="20"/>
          <w:lang w:val="id-ID"/>
        </w:rPr>
        <w:t>NEXT Indonesia Center</w:t>
      </w:r>
    </w:p>
    <w:p w14:paraId="695CD52A" w14:textId="77777777" w:rsidR="00E864AB" w:rsidRPr="00D55943" w:rsidRDefault="00E864AB" w:rsidP="00241410">
      <w:pPr>
        <w:spacing w:after="0" w:line="240" w:lineRule="auto"/>
        <w:jc w:val="both"/>
        <w:rPr>
          <w:rFonts w:cstheme="minorHAnsi"/>
          <w:sz w:val="20"/>
          <w:szCs w:val="20"/>
          <w:lang w:val="id-ID"/>
        </w:rPr>
      </w:pPr>
      <w:r w:rsidRPr="00D55943">
        <w:rPr>
          <w:rFonts w:cstheme="minorHAnsi"/>
          <w:sz w:val="20"/>
          <w:szCs w:val="20"/>
          <w:lang w:val="id-ID"/>
        </w:rPr>
        <w:t xml:space="preserve">NEXT Indonesia Center adalah lembaga independen dengan konsentrasi di bidang riset dan publikasi. Kami menggabungkan disiplin jurnalistik sebagai penyajian dan disiplin akademik sebagai panduan dalam melakukan riset. </w:t>
      </w:r>
    </w:p>
    <w:p w14:paraId="296A9E27" w14:textId="77777777" w:rsidR="00E864AB" w:rsidRPr="00D55943" w:rsidRDefault="00E864AB" w:rsidP="00241410">
      <w:pPr>
        <w:spacing w:after="0" w:line="240" w:lineRule="auto"/>
        <w:jc w:val="both"/>
        <w:rPr>
          <w:rFonts w:cstheme="minorHAnsi"/>
          <w:sz w:val="20"/>
          <w:szCs w:val="20"/>
          <w:lang w:val="id-ID"/>
        </w:rPr>
      </w:pPr>
      <w:r w:rsidRPr="00D55943">
        <w:rPr>
          <w:rFonts w:cstheme="minorHAnsi"/>
          <w:sz w:val="20"/>
          <w:szCs w:val="20"/>
          <w:lang w:val="id-ID"/>
        </w:rPr>
        <w:t>Konsentrasi kegiatan riset dan publikasi kami, terutama di bidang ekonomi, sosial dan kebijakan publik. Kami membantu para pemangku kepentingan agar lebih tepat dalam mengambil kebijakan strategis, baik untuk organisasi pemerintah, korporasi, organisasi masyarakat sipil, maupun lembaga lain dan individu.</w:t>
      </w:r>
    </w:p>
    <w:p w14:paraId="7A41F53D" w14:textId="77777777" w:rsidR="00E864AB" w:rsidRPr="00D55943" w:rsidRDefault="00E864AB" w:rsidP="00E864AB">
      <w:pPr>
        <w:spacing w:after="80"/>
        <w:jc w:val="both"/>
        <w:rPr>
          <w:rFonts w:cstheme="minorHAnsi"/>
          <w:sz w:val="20"/>
          <w:szCs w:val="20"/>
          <w:lang w:val="id-ID"/>
        </w:rPr>
      </w:pPr>
    </w:p>
    <w:p w14:paraId="4F6A1268" w14:textId="77777777" w:rsidR="00E864AB" w:rsidRPr="00D55943" w:rsidRDefault="00E864AB" w:rsidP="00E864AB">
      <w:pPr>
        <w:spacing w:after="80"/>
        <w:rPr>
          <w:rFonts w:cstheme="minorHAnsi"/>
          <w:b/>
          <w:sz w:val="20"/>
          <w:szCs w:val="20"/>
          <w:lang w:val="id-ID"/>
        </w:rPr>
      </w:pPr>
      <w:proofErr w:type="spellStart"/>
      <w:r w:rsidRPr="00D55943">
        <w:rPr>
          <w:rFonts w:cstheme="minorHAnsi"/>
          <w:b/>
          <w:sz w:val="20"/>
          <w:szCs w:val="20"/>
          <w:lang w:val="id-ID"/>
        </w:rPr>
        <w:t>Narahubung</w:t>
      </w:r>
      <w:proofErr w:type="spellEnd"/>
      <w:r w:rsidRPr="00D55943">
        <w:rPr>
          <w:rFonts w:cstheme="minorHAnsi"/>
          <w:b/>
          <w:sz w:val="20"/>
          <w:szCs w:val="20"/>
          <w:lang w:val="id-ID"/>
        </w:rPr>
        <w:t>:</w:t>
      </w:r>
    </w:p>
    <w:p w14:paraId="3350F354" w14:textId="00F6AFBB" w:rsidR="00E864AB" w:rsidRPr="00D55943" w:rsidRDefault="00E864AB" w:rsidP="00E864AB">
      <w:pPr>
        <w:spacing w:after="80"/>
        <w:rPr>
          <w:rFonts w:cstheme="minorHAnsi"/>
          <w:sz w:val="20"/>
          <w:szCs w:val="20"/>
          <w:lang w:val="id-ID"/>
        </w:rPr>
      </w:pPr>
      <w:proofErr w:type="spellStart"/>
      <w:r w:rsidRPr="00D55943">
        <w:rPr>
          <w:rFonts w:cstheme="minorHAnsi"/>
          <w:sz w:val="20"/>
          <w:szCs w:val="20"/>
          <w:lang w:val="id-ID"/>
        </w:rPr>
        <w:t>Research</w:t>
      </w:r>
      <w:proofErr w:type="spellEnd"/>
      <w:r w:rsidRPr="00D55943">
        <w:rPr>
          <w:rFonts w:cstheme="minorHAnsi"/>
          <w:sz w:val="20"/>
          <w:szCs w:val="20"/>
          <w:lang w:val="id-ID"/>
        </w:rPr>
        <w:t xml:space="preserve"> </w:t>
      </w:r>
      <w:proofErr w:type="spellStart"/>
      <w:r w:rsidRPr="00D55943">
        <w:rPr>
          <w:rFonts w:cstheme="minorHAnsi"/>
          <w:sz w:val="20"/>
          <w:szCs w:val="20"/>
          <w:lang w:val="id-ID"/>
        </w:rPr>
        <w:t>Coordinator</w:t>
      </w:r>
      <w:proofErr w:type="spellEnd"/>
      <w:r w:rsidRPr="00D55943">
        <w:rPr>
          <w:rFonts w:cstheme="minorHAnsi"/>
          <w:sz w:val="20"/>
          <w:szCs w:val="20"/>
          <w:lang w:val="id-ID"/>
        </w:rPr>
        <w:t xml:space="preserve"> NEXT Indonesia Center,</w:t>
      </w:r>
    </w:p>
    <w:p w14:paraId="4393A54C" w14:textId="749230DB" w:rsidR="00E864AB" w:rsidRPr="00D55943" w:rsidRDefault="00E864AB" w:rsidP="00E864AB">
      <w:pPr>
        <w:spacing w:after="80"/>
        <w:rPr>
          <w:rStyle w:val="Hyperlink"/>
          <w:rFonts w:cstheme="minorHAnsi"/>
          <w:sz w:val="20"/>
          <w:szCs w:val="20"/>
          <w:lang w:val="id-ID"/>
        </w:rPr>
      </w:pPr>
      <w:proofErr w:type="spellStart"/>
      <w:r w:rsidRPr="00D55943">
        <w:rPr>
          <w:rFonts w:cstheme="minorHAnsi"/>
          <w:sz w:val="20"/>
          <w:szCs w:val="20"/>
          <w:lang w:val="id-ID"/>
        </w:rPr>
        <w:t>Phone</w:t>
      </w:r>
      <w:proofErr w:type="spellEnd"/>
      <w:r w:rsidRPr="00D55943">
        <w:rPr>
          <w:rFonts w:cstheme="minorHAnsi"/>
          <w:sz w:val="20"/>
          <w:szCs w:val="20"/>
          <w:lang w:val="id-ID"/>
        </w:rPr>
        <w:t xml:space="preserve">: </w:t>
      </w:r>
      <w:hyperlink r:id="rId7" w:history="1">
        <w:r w:rsidRPr="00D55943">
          <w:rPr>
            <w:rStyle w:val="Hyperlink"/>
            <w:rFonts w:cstheme="minorHAnsi"/>
            <w:sz w:val="20"/>
            <w:szCs w:val="20"/>
            <w:lang w:val="id-ID"/>
          </w:rPr>
          <w:t>+62 823-1016-5120</w:t>
        </w:r>
      </w:hyperlink>
    </w:p>
    <w:p w14:paraId="32B9A1C4" w14:textId="5E218CC5" w:rsidR="00541E04" w:rsidRPr="00D55943" w:rsidRDefault="00341C3D" w:rsidP="00356482">
      <w:pPr>
        <w:spacing w:after="80"/>
        <w:rPr>
          <w:rFonts w:cstheme="minorHAnsi"/>
          <w:sz w:val="20"/>
          <w:szCs w:val="20"/>
          <w:lang w:val="id-ID"/>
        </w:rPr>
      </w:pPr>
      <w:r w:rsidRPr="00D55943">
        <w:rPr>
          <w:rStyle w:val="Hyperlink"/>
          <w:rFonts w:cstheme="minorHAnsi"/>
          <w:sz w:val="20"/>
          <w:szCs w:val="20"/>
          <w:lang w:val="id-ID"/>
        </w:rPr>
        <w:t>Nextindonesia.id</w:t>
      </w:r>
    </w:p>
    <w:sectPr w:rsidR="00541E04" w:rsidRPr="00D55943" w:rsidSect="00F411C8">
      <w:headerReference w:type="default" r:id="rId8"/>
      <w:pgSz w:w="12240" w:h="15840"/>
      <w:pgMar w:top="1620" w:right="1440" w:bottom="123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1642E" w14:textId="77777777" w:rsidR="004177CE" w:rsidRDefault="004177CE" w:rsidP="00E864AB">
      <w:pPr>
        <w:spacing w:after="0" w:line="240" w:lineRule="auto"/>
      </w:pPr>
      <w:r>
        <w:separator/>
      </w:r>
    </w:p>
  </w:endnote>
  <w:endnote w:type="continuationSeparator" w:id="0">
    <w:p w14:paraId="52FD6C6A" w14:textId="77777777" w:rsidR="004177CE" w:rsidRDefault="004177CE" w:rsidP="00E86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21C15" w14:textId="77777777" w:rsidR="004177CE" w:rsidRDefault="004177CE" w:rsidP="00E864AB">
      <w:pPr>
        <w:spacing w:after="0" w:line="240" w:lineRule="auto"/>
      </w:pPr>
      <w:r>
        <w:separator/>
      </w:r>
    </w:p>
  </w:footnote>
  <w:footnote w:type="continuationSeparator" w:id="0">
    <w:p w14:paraId="3763801D" w14:textId="77777777" w:rsidR="004177CE" w:rsidRDefault="004177CE" w:rsidP="00E86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86782" w14:textId="77777777" w:rsidR="001E1223" w:rsidRPr="00562DDA" w:rsidRDefault="0066299F" w:rsidP="00562DDA">
    <w:pPr>
      <w:pStyle w:val="Header"/>
      <w:jc w:val="right"/>
      <w:rPr>
        <w:b/>
        <w:bCs/>
        <w:sz w:val="18"/>
        <w:szCs w:val="18"/>
      </w:rPr>
    </w:pPr>
    <w:r>
      <w:rPr>
        <w:noProof/>
      </w:rPr>
      <w:drawing>
        <wp:anchor distT="0" distB="0" distL="114300" distR="114300" simplePos="0" relativeHeight="251659264" behindDoc="0" locked="0" layoutInCell="1" allowOverlap="1" wp14:anchorId="11618268" wp14:editId="64D48760">
          <wp:simplePos x="0" y="0"/>
          <wp:positionH relativeFrom="column">
            <wp:posOffset>-267335</wp:posOffset>
          </wp:positionH>
          <wp:positionV relativeFrom="paragraph">
            <wp:posOffset>-314325</wp:posOffset>
          </wp:positionV>
          <wp:extent cx="1495425" cy="876300"/>
          <wp:effectExtent l="0" t="0" r="0" b="0"/>
          <wp:wrapThrough wrapText="bothSides">
            <wp:wrapPolygon edited="0">
              <wp:start x="7154" y="6104"/>
              <wp:lineTo x="4127" y="7043"/>
              <wp:lineTo x="3852" y="12209"/>
              <wp:lineTo x="4678" y="15026"/>
              <wp:lineTo x="6054" y="15026"/>
              <wp:lineTo x="17060" y="14087"/>
              <wp:lineTo x="17335" y="7513"/>
              <wp:lineTo x="8255" y="6104"/>
              <wp:lineTo x="7154" y="6104"/>
            </wp:wrapPolygon>
          </wp:wrapThrough>
          <wp:docPr id="430997874" name="Picture 1" descr="A logo with blue and pink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04844" name="Picture 1" descr="A logo with blue and pink colo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5425" cy="876300"/>
                  </a:xfrm>
                  <a:prstGeom prst="rect">
                    <a:avLst/>
                  </a:prstGeom>
                </pic:spPr>
              </pic:pic>
            </a:graphicData>
          </a:graphic>
          <wp14:sizeRelH relativeFrom="page">
            <wp14:pctWidth>0</wp14:pctWidth>
          </wp14:sizeRelH>
          <wp14:sizeRelV relativeFrom="page">
            <wp14:pctHeight>0</wp14:pctHeight>
          </wp14:sizeRelV>
        </wp:anchor>
      </w:drawing>
    </w:r>
    <w:r>
      <w:t xml:space="preserve">            </w:t>
    </w:r>
    <w:proofErr w:type="spellStart"/>
    <w:r w:rsidRPr="00562DDA">
      <w:rPr>
        <w:b/>
        <w:bCs/>
        <w:sz w:val="18"/>
        <w:szCs w:val="18"/>
      </w:rPr>
      <w:t>Siaran</w:t>
    </w:r>
    <w:proofErr w:type="spellEnd"/>
    <w:r w:rsidRPr="00562DDA">
      <w:rPr>
        <w:b/>
        <w:bCs/>
        <w:sz w:val="18"/>
        <w:szCs w:val="18"/>
      </w:rPr>
      <w:t xml:space="preserve"> Pers</w:t>
    </w:r>
  </w:p>
  <w:p w14:paraId="1E27DD11" w14:textId="77777777" w:rsidR="001E1223" w:rsidRPr="00562DDA" w:rsidRDefault="0066299F" w:rsidP="00562DDA">
    <w:pPr>
      <w:pStyle w:val="Header"/>
      <w:jc w:val="right"/>
      <w:rPr>
        <w:sz w:val="18"/>
        <w:szCs w:val="18"/>
      </w:rPr>
    </w:pPr>
    <w:proofErr w:type="spellStart"/>
    <w:r w:rsidRPr="00562DDA">
      <w:rPr>
        <w:sz w:val="18"/>
        <w:szCs w:val="18"/>
      </w:rPr>
      <w:t>Untuk</w:t>
    </w:r>
    <w:proofErr w:type="spellEnd"/>
    <w:r w:rsidRPr="00562DDA">
      <w:rPr>
        <w:sz w:val="18"/>
        <w:szCs w:val="18"/>
      </w:rPr>
      <w:t xml:space="preserve"> </w:t>
    </w:r>
    <w:proofErr w:type="spellStart"/>
    <w:r w:rsidRPr="00562DDA">
      <w:rPr>
        <w:sz w:val="18"/>
        <w:szCs w:val="18"/>
      </w:rPr>
      <w:t>Segera</w:t>
    </w:r>
    <w:proofErr w:type="spellEnd"/>
    <w:r w:rsidRPr="00562DDA">
      <w:rPr>
        <w:sz w:val="18"/>
        <w:szCs w:val="18"/>
      </w:rPr>
      <w:t xml:space="preserve"> </w:t>
    </w:r>
    <w:proofErr w:type="spellStart"/>
    <w:r w:rsidRPr="00562DDA">
      <w:rPr>
        <w:sz w:val="18"/>
        <w:szCs w:val="18"/>
      </w:rPr>
      <w:t>Disiarkan</w:t>
    </w:r>
    <w:proofErr w:type="spellEnd"/>
  </w:p>
  <w:p w14:paraId="7A588BCC" w14:textId="633E0A64" w:rsidR="001E1223" w:rsidRDefault="00B81802" w:rsidP="00562DDA">
    <w:pPr>
      <w:pStyle w:val="Header"/>
      <w:jc w:val="right"/>
    </w:pPr>
    <w:proofErr w:type="spellStart"/>
    <w:r>
      <w:rPr>
        <w:sz w:val="18"/>
        <w:szCs w:val="18"/>
      </w:rPr>
      <w:t>Minggu</w:t>
    </w:r>
    <w:proofErr w:type="spellEnd"/>
    <w:r w:rsidR="0066299F">
      <w:rPr>
        <w:sz w:val="18"/>
        <w:szCs w:val="18"/>
      </w:rPr>
      <w:t>,</w:t>
    </w:r>
    <w:r w:rsidR="0066299F" w:rsidRPr="00562DDA">
      <w:rPr>
        <w:sz w:val="18"/>
        <w:szCs w:val="18"/>
      </w:rPr>
      <w:t xml:space="preserve"> </w:t>
    </w:r>
    <w:r w:rsidR="009908BE">
      <w:rPr>
        <w:sz w:val="18"/>
        <w:szCs w:val="18"/>
      </w:rPr>
      <w:t>1</w:t>
    </w:r>
    <w:r w:rsidR="00356482">
      <w:rPr>
        <w:sz w:val="18"/>
        <w:szCs w:val="18"/>
      </w:rPr>
      <w:t>9</w:t>
    </w:r>
    <w:r>
      <w:rPr>
        <w:sz w:val="18"/>
        <w:szCs w:val="18"/>
      </w:rPr>
      <w:t xml:space="preserve"> April</w:t>
    </w:r>
    <w:r w:rsidR="0066299F">
      <w:rPr>
        <w:sz w:val="18"/>
        <w:szCs w:val="18"/>
      </w:rPr>
      <w:t xml:space="preserve"> </w:t>
    </w:r>
    <w:r w:rsidR="0066299F" w:rsidRPr="00562DDA">
      <w:rPr>
        <w:sz w:val="18"/>
        <w:szCs w:val="18"/>
      </w:rPr>
      <w:t>202</w:t>
    </w:r>
    <w:r w:rsidR="0066299F">
      <w:rPr>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336CD"/>
    <w:multiLevelType w:val="multilevel"/>
    <w:tmpl w:val="2BE07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8171EE"/>
    <w:multiLevelType w:val="multilevel"/>
    <w:tmpl w:val="F8289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A560A8"/>
    <w:multiLevelType w:val="multilevel"/>
    <w:tmpl w:val="A416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686F4C"/>
    <w:multiLevelType w:val="multilevel"/>
    <w:tmpl w:val="1AFE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5271149">
    <w:abstractNumId w:val="2"/>
  </w:num>
  <w:num w:numId="2" w16cid:durableId="1083376786">
    <w:abstractNumId w:val="3"/>
  </w:num>
  <w:num w:numId="3" w16cid:durableId="1895043925">
    <w:abstractNumId w:val="1"/>
  </w:num>
  <w:num w:numId="4" w16cid:durableId="1189493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4AB"/>
    <w:rsid w:val="00191795"/>
    <w:rsid w:val="001E1223"/>
    <w:rsid w:val="00241410"/>
    <w:rsid w:val="002A403D"/>
    <w:rsid w:val="002F5EA0"/>
    <w:rsid w:val="00341C3D"/>
    <w:rsid w:val="00356482"/>
    <w:rsid w:val="003A7D59"/>
    <w:rsid w:val="003D5538"/>
    <w:rsid w:val="004177CE"/>
    <w:rsid w:val="00443364"/>
    <w:rsid w:val="0047117A"/>
    <w:rsid w:val="004A02C9"/>
    <w:rsid w:val="00541E04"/>
    <w:rsid w:val="0059474E"/>
    <w:rsid w:val="005F5E47"/>
    <w:rsid w:val="00632D07"/>
    <w:rsid w:val="0066299F"/>
    <w:rsid w:val="006B0B82"/>
    <w:rsid w:val="006B7070"/>
    <w:rsid w:val="008A3FCA"/>
    <w:rsid w:val="00942F06"/>
    <w:rsid w:val="009908BE"/>
    <w:rsid w:val="00992ADB"/>
    <w:rsid w:val="00A04B95"/>
    <w:rsid w:val="00A250A0"/>
    <w:rsid w:val="00A45604"/>
    <w:rsid w:val="00B02B54"/>
    <w:rsid w:val="00B775ED"/>
    <w:rsid w:val="00B81802"/>
    <w:rsid w:val="00BF44A7"/>
    <w:rsid w:val="00C05DA7"/>
    <w:rsid w:val="00D323D2"/>
    <w:rsid w:val="00D55943"/>
    <w:rsid w:val="00E20F48"/>
    <w:rsid w:val="00E224E3"/>
    <w:rsid w:val="00E864AB"/>
    <w:rsid w:val="00E978AD"/>
    <w:rsid w:val="00ED25C0"/>
    <w:rsid w:val="00F9113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8A962"/>
  <w15:chartTrackingRefBased/>
  <w15:docId w15:val="{23F02B45-AE72-564A-A72E-F760450F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4AB"/>
    <w:pPr>
      <w:spacing w:after="160" w:line="259" w:lineRule="auto"/>
    </w:pPr>
    <w:rPr>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6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4AB"/>
    <w:rPr>
      <w:kern w:val="2"/>
      <w:sz w:val="22"/>
      <w:szCs w:val="22"/>
      <w:lang w:val="en-US"/>
      <w14:ligatures w14:val="standardContextual"/>
    </w:rPr>
  </w:style>
  <w:style w:type="character" w:styleId="Hyperlink">
    <w:name w:val="Hyperlink"/>
    <w:basedOn w:val="DefaultParagraphFont"/>
    <w:uiPriority w:val="99"/>
    <w:unhideWhenUsed/>
    <w:rsid w:val="00E864AB"/>
    <w:rPr>
      <w:color w:val="0563C1" w:themeColor="hyperlink"/>
      <w:u w:val="single"/>
    </w:rPr>
  </w:style>
  <w:style w:type="paragraph" w:styleId="Footer">
    <w:name w:val="footer"/>
    <w:basedOn w:val="Normal"/>
    <w:link w:val="FooterChar"/>
    <w:uiPriority w:val="99"/>
    <w:unhideWhenUsed/>
    <w:rsid w:val="00E86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4AB"/>
    <w:rPr>
      <w:kern w:val="2"/>
      <w:sz w:val="22"/>
      <w:szCs w:val="22"/>
      <w:lang w:val="en-US"/>
      <w14:ligatures w14:val="standardContextual"/>
    </w:rPr>
  </w:style>
  <w:style w:type="paragraph" w:styleId="NormalWeb">
    <w:name w:val="Normal (Web)"/>
    <w:basedOn w:val="Normal"/>
    <w:uiPriority w:val="99"/>
    <w:unhideWhenUsed/>
    <w:rsid w:val="00B81802"/>
    <w:pPr>
      <w:spacing w:before="100" w:beforeAutospacing="1" w:after="100" w:afterAutospacing="1" w:line="240" w:lineRule="auto"/>
    </w:pPr>
    <w:rPr>
      <w:rFonts w:ascii="Times New Roman" w:eastAsia="Times New Roman" w:hAnsi="Times New Roman" w:cs="Times New Roman"/>
      <w:kern w:val="0"/>
      <w:sz w:val="24"/>
      <w:szCs w:val="24"/>
      <w:lang w:val="en-ID"/>
      <w14:ligatures w14:val="none"/>
    </w:rPr>
  </w:style>
  <w:style w:type="table" w:styleId="TableGrid">
    <w:name w:val="Table Grid"/>
    <w:basedOn w:val="TableNormal"/>
    <w:uiPriority w:val="39"/>
    <w:rsid w:val="004A02C9"/>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394276">
      <w:bodyDiv w:val="1"/>
      <w:marLeft w:val="0"/>
      <w:marRight w:val="0"/>
      <w:marTop w:val="0"/>
      <w:marBottom w:val="0"/>
      <w:divBdr>
        <w:top w:val="none" w:sz="0" w:space="0" w:color="auto"/>
        <w:left w:val="none" w:sz="0" w:space="0" w:color="auto"/>
        <w:bottom w:val="none" w:sz="0" w:space="0" w:color="auto"/>
        <w:right w:val="none" w:sz="0" w:space="0" w:color="auto"/>
      </w:divBdr>
    </w:div>
    <w:div w:id="1511215429">
      <w:bodyDiv w:val="1"/>
      <w:marLeft w:val="0"/>
      <w:marRight w:val="0"/>
      <w:marTop w:val="0"/>
      <w:marBottom w:val="0"/>
      <w:divBdr>
        <w:top w:val="none" w:sz="0" w:space="0" w:color="auto"/>
        <w:left w:val="none" w:sz="0" w:space="0" w:color="auto"/>
        <w:bottom w:val="none" w:sz="0" w:space="0" w:color="auto"/>
        <w:right w:val="none" w:sz="0" w:space="0" w:color="auto"/>
      </w:divBdr>
    </w:div>
    <w:div w:id="189689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alto:+012(345)678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1124</Words>
  <Characters>6409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Myoffice25863</cp:lastModifiedBy>
  <cp:revision>7</cp:revision>
  <dcterms:created xsi:type="dcterms:W3CDTF">2026-04-17T12:42:00Z</dcterms:created>
  <dcterms:modified xsi:type="dcterms:W3CDTF">2026-04-18T14:59:00Z</dcterms:modified>
</cp:coreProperties>
</file>