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C78F" w14:textId="7E65E875" w:rsidR="006B3A03" w:rsidRPr="001A5072" w:rsidRDefault="006B3A03" w:rsidP="00E04E3F">
      <w:pPr>
        <w:spacing w:after="240" w:line="240" w:lineRule="auto"/>
        <w:ind w:left="720"/>
        <w:jc w:val="both"/>
        <w:textAlignment w:val="baseline"/>
        <w:rPr>
          <w:rFonts w:eastAsia="Times New Roman" w:cstheme="minorHAnsi"/>
          <w:b/>
          <w:bCs/>
          <w:color w:val="000000"/>
          <w:kern w:val="0"/>
          <w:sz w:val="24"/>
          <w:szCs w:val="24"/>
          <w:lang w:val="id-ID"/>
          <w14:ligatures w14:val="none"/>
        </w:rPr>
      </w:pPr>
      <w:r w:rsidRPr="001A5072">
        <w:rPr>
          <w:rFonts w:eastAsia="Times New Roman" w:cstheme="minorHAnsi"/>
          <w:b/>
          <w:bCs/>
          <w:color w:val="000000"/>
          <w:kern w:val="0"/>
          <w:sz w:val="24"/>
          <w:szCs w:val="24"/>
          <w:lang w:val="id-ID"/>
          <w14:ligatures w14:val="none"/>
        </w:rPr>
        <w:t>Daftar Daerah dengan Kualitas Hidup Terbaik di Indonesia, Denpasar Juaranya!</w:t>
      </w:r>
    </w:p>
    <w:p w14:paraId="7E04A9CA" w14:textId="4CF8ABD7" w:rsidR="006B3A03" w:rsidRDefault="006B3A03" w:rsidP="001867EF">
      <w:pPr>
        <w:spacing w:before="240" w:after="240" w:line="240" w:lineRule="auto"/>
        <w:jc w:val="both"/>
        <w:rPr>
          <w:rFonts w:eastAsia="Times New Roman" w:cstheme="minorHAnsi"/>
          <w:color w:val="000000"/>
          <w:kern w:val="0"/>
          <w:sz w:val="24"/>
          <w:szCs w:val="24"/>
          <w:lang w:val="id-ID"/>
          <w14:ligatures w14:val="none"/>
        </w:rPr>
      </w:pPr>
      <w:r w:rsidRPr="001A5072">
        <w:rPr>
          <w:rFonts w:eastAsia="Times New Roman" w:cstheme="minorHAnsi"/>
          <w:b/>
          <w:bCs/>
          <w:color w:val="000000"/>
          <w:kern w:val="0"/>
          <w:sz w:val="24"/>
          <w:szCs w:val="24"/>
          <w:lang w:val="id-ID"/>
          <w14:ligatures w14:val="none"/>
        </w:rPr>
        <w:t xml:space="preserve">JAKARTA - </w:t>
      </w:r>
      <w:r w:rsidRPr="001A5072">
        <w:rPr>
          <w:rFonts w:eastAsia="Times New Roman" w:cstheme="minorHAnsi"/>
          <w:color w:val="000000"/>
          <w:kern w:val="0"/>
          <w:sz w:val="24"/>
          <w:szCs w:val="24"/>
          <w:lang w:val="id-ID"/>
          <w14:ligatures w14:val="none"/>
        </w:rPr>
        <w:t xml:space="preserve">Keberhasilan pembangunan daerah </w:t>
      </w:r>
      <w:r w:rsidR="00D74861" w:rsidRPr="001A5072">
        <w:rPr>
          <w:rFonts w:eastAsia="Times New Roman" w:cstheme="minorHAnsi"/>
          <w:color w:val="000000"/>
          <w:kern w:val="0"/>
          <w:sz w:val="24"/>
          <w:szCs w:val="24"/>
          <w:lang w:val="id-ID"/>
          <w14:ligatures w14:val="none"/>
        </w:rPr>
        <w:t xml:space="preserve">di Indonesia selama ini </w:t>
      </w:r>
      <w:r w:rsidR="00B675EA" w:rsidRPr="001A5072">
        <w:rPr>
          <w:rFonts w:eastAsia="Times New Roman" w:cstheme="minorHAnsi"/>
          <w:color w:val="000000"/>
          <w:kern w:val="0"/>
          <w:sz w:val="24"/>
          <w:szCs w:val="24"/>
          <w:lang w:val="id-ID"/>
          <w14:ligatures w14:val="none"/>
        </w:rPr>
        <w:t xml:space="preserve">tampaknya </w:t>
      </w:r>
      <w:r w:rsidR="00D74861" w:rsidRPr="001A5072">
        <w:rPr>
          <w:rFonts w:eastAsia="Times New Roman" w:cstheme="minorHAnsi"/>
          <w:color w:val="000000"/>
          <w:kern w:val="0"/>
          <w:sz w:val="24"/>
          <w:szCs w:val="24"/>
          <w:lang w:val="id-ID"/>
          <w14:ligatures w14:val="none"/>
        </w:rPr>
        <w:t xml:space="preserve">terlalu sering </w:t>
      </w:r>
      <w:r w:rsidR="00C03C33" w:rsidRPr="001A5072">
        <w:rPr>
          <w:rFonts w:eastAsia="Times New Roman" w:cstheme="minorHAnsi"/>
          <w:color w:val="000000"/>
          <w:kern w:val="0"/>
          <w:sz w:val="24"/>
          <w:szCs w:val="24"/>
          <w:lang w:val="id-ID"/>
          <w14:ligatures w14:val="none"/>
        </w:rPr>
        <w:t>di</w:t>
      </w:r>
      <w:r w:rsidR="001175B4" w:rsidRPr="001A5072">
        <w:rPr>
          <w:rFonts w:eastAsia="Times New Roman" w:cstheme="minorHAnsi"/>
          <w:color w:val="000000"/>
          <w:kern w:val="0"/>
          <w:sz w:val="24"/>
          <w:szCs w:val="24"/>
          <w:lang w:val="id-ID"/>
          <w14:ligatures w14:val="none"/>
        </w:rPr>
        <w:t>lihat</w:t>
      </w:r>
      <w:r w:rsidRPr="001A5072">
        <w:rPr>
          <w:rFonts w:eastAsia="Times New Roman" w:cstheme="minorHAnsi"/>
          <w:color w:val="000000"/>
          <w:kern w:val="0"/>
          <w:sz w:val="24"/>
          <w:szCs w:val="24"/>
          <w:lang w:val="id-ID"/>
          <w14:ligatures w14:val="none"/>
        </w:rPr>
        <w:t xml:space="preserve"> dari angka</w:t>
      </w:r>
      <w:r w:rsidR="00C03C33" w:rsidRPr="001A5072">
        <w:rPr>
          <w:rFonts w:eastAsia="Times New Roman" w:cstheme="minorHAnsi"/>
          <w:color w:val="000000"/>
          <w:kern w:val="0"/>
          <w:sz w:val="24"/>
          <w:szCs w:val="24"/>
          <w:lang w:val="id-ID"/>
          <w14:ligatures w14:val="none"/>
        </w:rPr>
        <w:t>-angka</w:t>
      </w:r>
      <w:r w:rsidRPr="001A5072">
        <w:rPr>
          <w:rFonts w:eastAsia="Times New Roman" w:cstheme="minorHAnsi"/>
          <w:color w:val="000000"/>
          <w:kern w:val="0"/>
          <w:sz w:val="24"/>
          <w:szCs w:val="24"/>
          <w:lang w:val="id-ID"/>
          <w14:ligatures w14:val="none"/>
        </w:rPr>
        <w:t xml:space="preserve"> pertumbuhan</w:t>
      </w:r>
      <w:r w:rsidR="00B675EA" w:rsidRPr="001A5072">
        <w:rPr>
          <w:rFonts w:eastAsia="Times New Roman" w:cstheme="minorHAnsi"/>
          <w:color w:val="000000"/>
          <w:kern w:val="0"/>
          <w:sz w:val="24"/>
          <w:szCs w:val="24"/>
          <w:lang w:val="id-ID"/>
          <w14:ligatures w14:val="none"/>
        </w:rPr>
        <w:t xml:space="preserve"> </w:t>
      </w:r>
      <w:r w:rsidR="00C03C33" w:rsidRPr="001A5072">
        <w:rPr>
          <w:rFonts w:eastAsia="Times New Roman" w:cstheme="minorHAnsi"/>
          <w:color w:val="000000"/>
          <w:kern w:val="0"/>
          <w:sz w:val="24"/>
          <w:szCs w:val="24"/>
          <w:lang w:val="id-ID"/>
          <w14:ligatures w14:val="none"/>
        </w:rPr>
        <w:t>ekonomi</w:t>
      </w:r>
      <w:r w:rsidRPr="001A5072">
        <w:rPr>
          <w:rFonts w:eastAsia="Times New Roman" w:cstheme="minorHAnsi"/>
          <w:color w:val="000000"/>
          <w:kern w:val="0"/>
          <w:sz w:val="24"/>
          <w:szCs w:val="24"/>
          <w:lang w:val="id-ID"/>
          <w14:ligatures w14:val="none"/>
        </w:rPr>
        <w:t xml:space="preserve">, </w:t>
      </w:r>
      <w:r w:rsidR="002D7101" w:rsidRPr="001A5072">
        <w:rPr>
          <w:rFonts w:eastAsia="Times New Roman" w:cstheme="minorHAnsi"/>
          <w:color w:val="000000"/>
          <w:kern w:val="0"/>
          <w:sz w:val="24"/>
          <w:szCs w:val="24"/>
          <w:lang w:val="id-ID"/>
          <w14:ligatures w14:val="none"/>
        </w:rPr>
        <w:t xml:space="preserve">padahal seharusnya </w:t>
      </w:r>
      <w:r w:rsidRPr="001A5072">
        <w:rPr>
          <w:rFonts w:eastAsia="Times New Roman" w:cstheme="minorHAnsi"/>
          <w:color w:val="000000"/>
          <w:kern w:val="0"/>
          <w:sz w:val="24"/>
          <w:szCs w:val="24"/>
          <w:lang w:val="id-ID"/>
          <w14:ligatures w14:val="none"/>
        </w:rPr>
        <w:t>konsiste</w:t>
      </w:r>
      <w:r w:rsidR="0021772F" w:rsidRPr="001A5072">
        <w:rPr>
          <w:rFonts w:eastAsia="Times New Roman" w:cstheme="minorHAnsi"/>
          <w:color w:val="000000"/>
          <w:kern w:val="0"/>
          <w:sz w:val="24"/>
          <w:szCs w:val="24"/>
          <w:lang w:val="id-ID"/>
          <w14:ligatures w14:val="none"/>
        </w:rPr>
        <w:t>n</w:t>
      </w:r>
      <w:r w:rsidRPr="001A5072">
        <w:rPr>
          <w:rFonts w:eastAsia="Times New Roman" w:cstheme="minorHAnsi"/>
          <w:color w:val="000000"/>
          <w:kern w:val="0"/>
          <w:sz w:val="24"/>
          <w:szCs w:val="24"/>
          <w:lang w:val="id-ID"/>
          <w14:ligatures w14:val="none"/>
        </w:rPr>
        <w:t xml:space="preserve"> dalam menghadirkan kehidupan yang sehat, berpendidikan, dan aman</w:t>
      </w:r>
      <w:r w:rsidR="001175B4" w:rsidRPr="001A5072">
        <w:rPr>
          <w:rFonts w:eastAsia="Times New Roman" w:cstheme="minorHAnsi"/>
          <w:color w:val="000000"/>
          <w:kern w:val="0"/>
          <w:sz w:val="24"/>
          <w:szCs w:val="24"/>
          <w:lang w:val="id-ID"/>
          <w14:ligatures w14:val="none"/>
        </w:rPr>
        <w:t>. Hal</w:t>
      </w:r>
      <w:r w:rsidRPr="001A5072">
        <w:rPr>
          <w:rFonts w:eastAsia="Times New Roman" w:cstheme="minorHAnsi"/>
          <w:color w:val="000000"/>
          <w:kern w:val="0"/>
          <w:sz w:val="24"/>
          <w:szCs w:val="24"/>
          <w:lang w:val="id-ID"/>
          <w14:ligatures w14:val="none"/>
        </w:rPr>
        <w:t xml:space="preserve"> ini menegaskan bahwa daerah berkualitas terbaik bukan</w:t>
      </w:r>
      <w:r w:rsidR="001A5072">
        <w:rPr>
          <w:rFonts w:eastAsia="Times New Roman" w:cstheme="minorHAnsi"/>
          <w:color w:val="000000"/>
          <w:kern w:val="0"/>
          <w:sz w:val="24"/>
          <w:szCs w:val="24"/>
          <w:lang w:val="id-ID"/>
          <w14:ligatures w14:val="none"/>
        </w:rPr>
        <w:t xml:space="preserve"> </w:t>
      </w:r>
      <w:r w:rsidRPr="001A5072">
        <w:rPr>
          <w:rFonts w:eastAsia="Times New Roman" w:cstheme="minorHAnsi"/>
          <w:color w:val="000000"/>
          <w:kern w:val="0"/>
          <w:sz w:val="24"/>
          <w:szCs w:val="24"/>
          <w:lang w:val="id-ID"/>
          <w14:ligatures w14:val="none"/>
        </w:rPr>
        <w:t xml:space="preserve">yang </w:t>
      </w:r>
      <w:r w:rsidR="001A5072">
        <w:rPr>
          <w:rFonts w:eastAsia="Times New Roman" w:cstheme="minorHAnsi"/>
          <w:color w:val="000000"/>
          <w:kern w:val="0"/>
          <w:sz w:val="24"/>
          <w:szCs w:val="24"/>
          <w:lang w:val="id-ID"/>
          <w14:ligatures w14:val="none"/>
        </w:rPr>
        <w:t xml:space="preserve">sekadar </w:t>
      </w:r>
      <w:r w:rsidRPr="001A5072">
        <w:rPr>
          <w:rFonts w:eastAsia="Times New Roman" w:cstheme="minorHAnsi"/>
          <w:color w:val="000000"/>
          <w:kern w:val="0"/>
          <w:sz w:val="24"/>
          <w:szCs w:val="24"/>
          <w:lang w:val="id-ID"/>
          <w14:ligatures w14:val="none"/>
        </w:rPr>
        <w:t>paling kaya</w:t>
      </w:r>
      <w:r w:rsidR="001A5072">
        <w:rPr>
          <w:rFonts w:eastAsia="Times New Roman" w:cstheme="minorHAnsi"/>
          <w:color w:val="000000"/>
          <w:kern w:val="0"/>
          <w:sz w:val="24"/>
          <w:szCs w:val="24"/>
          <w:lang w:val="id-ID"/>
          <w14:ligatures w14:val="none"/>
        </w:rPr>
        <w:t xml:space="preserve"> secara ekonomi</w:t>
      </w:r>
      <w:r w:rsidRPr="001A5072">
        <w:rPr>
          <w:rFonts w:eastAsia="Times New Roman" w:cstheme="minorHAnsi"/>
          <w:color w:val="000000"/>
          <w:kern w:val="0"/>
          <w:sz w:val="24"/>
          <w:szCs w:val="24"/>
          <w:lang w:val="id-ID"/>
          <w14:ligatures w14:val="none"/>
        </w:rPr>
        <w:t>, melainkan yang paling mampu mewujudkan kesejahteraan sosial secara merata dan berkelanjutan.</w:t>
      </w:r>
    </w:p>
    <w:p w14:paraId="7606872A" w14:textId="19164DF8" w:rsidR="001A5072" w:rsidRPr="001A5072" w:rsidRDefault="001A5072" w:rsidP="001867EF">
      <w:pPr>
        <w:spacing w:before="240" w:after="240" w:line="240" w:lineRule="auto"/>
        <w:jc w:val="both"/>
        <w:rPr>
          <w:rFonts w:eastAsia="Times New Roman" w:cstheme="minorHAnsi"/>
          <w:color w:val="000000"/>
          <w:kern w:val="0"/>
          <w:sz w:val="24"/>
          <w:szCs w:val="24"/>
          <w:lang w:val="id-ID"/>
          <w14:ligatures w14:val="none"/>
        </w:rPr>
      </w:pPr>
      <w:r>
        <w:rPr>
          <w:rFonts w:eastAsia="Times New Roman" w:cstheme="minorHAnsi"/>
          <w:color w:val="000000"/>
          <w:kern w:val="0"/>
          <w:sz w:val="24"/>
          <w:szCs w:val="24"/>
          <w:lang w:val="id-ID"/>
          <w14:ligatures w14:val="none"/>
        </w:rPr>
        <w:t>“K</w:t>
      </w:r>
      <w:r w:rsidRPr="001A5072">
        <w:rPr>
          <w:rFonts w:eastAsia="Times New Roman" w:cstheme="minorHAnsi"/>
          <w:color w:val="000000"/>
          <w:kern w:val="0"/>
          <w:sz w:val="24"/>
          <w:szCs w:val="24"/>
          <w:lang w:val="id-ID"/>
          <w14:ligatures w14:val="none"/>
        </w:rPr>
        <w:t>ualitas hidup tinggi adalah hasil dari kebijakan</w:t>
      </w:r>
      <w:r>
        <w:rPr>
          <w:rFonts w:eastAsia="Times New Roman" w:cstheme="minorHAnsi"/>
          <w:color w:val="000000"/>
          <w:kern w:val="0"/>
          <w:sz w:val="24"/>
          <w:szCs w:val="24"/>
          <w:lang w:val="id-ID"/>
          <w14:ligatures w14:val="none"/>
        </w:rPr>
        <w:t xml:space="preserve"> yang konsisten</w:t>
      </w:r>
      <w:r w:rsidRPr="001A5072">
        <w:rPr>
          <w:rFonts w:eastAsia="Times New Roman" w:cstheme="minorHAnsi"/>
          <w:color w:val="000000"/>
          <w:kern w:val="0"/>
          <w:sz w:val="24"/>
          <w:szCs w:val="24"/>
          <w:lang w:val="id-ID"/>
          <w14:ligatures w14:val="none"/>
        </w:rPr>
        <w:t>, bukan kebetulan</w:t>
      </w:r>
      <w:r>
        <w:rPr>
          <w:rFonts w:eastAsia="Times New Roman" w:cstheme="minorHAnsi"/>
          <w:color w:val="000000"/>
          <w:kern w:val="0"/>
          <w:sz w:val="24"/>
          <w:szCs w:val="24"/>
          <w:lang w:val="id-ID"/>
          <w14:ligatures w14:val="none"/>
        </w:rPr>
        <w:t xml:space="preserve">,” ungkap </w:t>
      </w:r>
      <w:r w:rsidRPr="001A5072">
        <w:rPr>
          <w:rFonts w:eastAsia="Times New Roman" w:cstheme="minorHAnsi"/>
          <w:color w:val="000000"/>
          <w:kern w:val="0"/>
          <w:sz w:val="24"/>
          <w:szCs w:val="24"/>
          <w:lang w:val="id-ID"/>
          <w14:ligatures w14:val="none"/>
        </w:rPr>
        <w:t>Kepala Peneliti NEXT Indonesia Center, Ade Holis</w:t>
      </w:r>
      <w:r>
        <w:rPr>
          <w:rFonts w:eastAsia="Times New Roman" w:cstheme="minorHAnsi"/>
          <w:color w:val="000000"/>
          <w:kern w:val="0"/>
          <w:sz w:val="24"/>
          <w:szCs w:val="24"/>
          <w:lang w:val="id-ID"/>
          <w14:ligatures w14:val="none"/>
        </w:rPr>
        <w:t xml:space="preserve">, </w:t>
      </w:r>
      <w:r w:rsidRPr="001A5072">
        <w:rPr>
          <w:rFonts w:eastAsia="Times New Roman" w:cstheme="minorHAnsi"/>
          <w:color w:val="000000"/>
          <w:kern w:val="0"/>
          <w:sz w:val="24"/>
          <w:szCs w:val="24"/>
          <w:lang w:val="id-ID"/>
          <w14:ligatures w14:val="none"/>
        </w:rPr>
        <w:t>di Jakarta, Minggu (1/2/2026).</w:t>
      </w:r>
    </w:p>
    <w:p w14:paraId="5CF1EBFC" w14:textId="6D9FC610" w:rsidR="006B3A03" w:rsidRPr="001A5072" w:rsidRDefault="001A5072" w:rsidP="001867EF">
      <w:pPr>
        <w:spacing w:before="240" w:after="240" w:line="240" w:lineRule="auto"/>
        <w:jc w:val="both"/>
        <w:rPr>
          <w:rFonts w:eastAsia="Times New Roman" w:cstheme="minorHAnsi"/>
          <w:kern w:val="0"/>
          <w:sz w:val="24"/>
          <w:szCs w:val="24"/>
          <w:lang w:val="id-ID"/>
          <w14:ligatures w14:val="none"/>
        </w:rPr>
      </w:pPr>
      <w:r>
        <w:rPr>
          <w:rFonts w:eastAsia="Times New Roman" w:cstheme="minorHAnsi"/>
          <w:color w:val="000000"/>
          <w:kern w:val="0"/>
          <w:sz w:val="24"/>
          <w:szCs w:val="24"/>
          <w:lang w:val="id-ID"/>
          <w14:ligatures w14:val="none"/>
        </w:rPr>
        <w:t xml:space="preserve">Untuk menemukan daerah dengan kualitas hidup terbaik, ungkap Ade Holis, NEXT Indonesia Center menguji data </w:t>
      </w:r>
      <w:r w:rsidRPr="001A5072">
        <w:rPr>
          <w:rFonts w:eastAsia="Times New Roman" w:cstheme="minorHAnsi"/>
          <w:color w:val="000000"/>
          <w:kern w:val="0"/>
          <w:sz w:val="24"/>
          <w:szCs w:val="24"/>
          <w:lang w:val="id-ID"/>
          <w14:ligatures w14:val="none"/>
        </w:rPr>
        <w:t>514 kabupaten/kota</w:t>
      </w:r>
      <w:r>
        <w:rPr>
          <w:rFonts w:eastAsia="Times New Roman" w:cstheme="minorHAnsi"/>
          <w:color w:val="000000"/>
          <w:kern w:val="0"/>
          <w:sz w:val="24"/>
          <w:szCs w:val="24"/>
          <w:lang w:val="id-ID"/>
          <w14:ligatures w14:val="none"/>
        </w:rPr>
        <w:t xml:space="preserve">, </w:t>
      </w:r>
      <w:r w:rsidR="006B3A03" w:rsidRPr="001A5072">
        <w:rPr>
          <w:rFonts w:eastAsia="Times New Roman" w:cstheme="minorHAnsi"/>
          <w:color w:val="000000"/>
          <w:kern w:val="0"/>
          <w:sz w:val="24"/>
          <w:szCs w:val="24"/>
          <w:lang w:val="id-ID"/>
          <w14:ligatures w14:val="none"/>
        </w:rPr>
        <w:t>melalui delapan indikator</w:t>
      </w:r>
      <w:r>
        <w:rPr>
          <w:rFonts w:eastAsia="Times New Roman" w:cstheme="minorHAnsi"/>
          <w:color w:val="000000"/>
          <w:kern w:val="0"/>
          <w:sz w:val="24"/>
          <w:szCs w:val="24"/>
          <w:lang w:val="id-ID"/>
          <w14:ligatures w14:val="none"/>
        </w:rPr>
        <w:t xml:space="preserve"> yang membentuk </w:t>
      </w:r>
      <w:r w:rsidRPr="001A5072">
        <w:rPr>
          <w:rFonts w:eastAsia="Times New Roman" w:cstheme="minorHAnsi"/>
          <w:color w:val="000000"/>
          <w:kern w:val="0"/>
          <w:sz w:val="24"/>
          <w:szCs w:val="24"/>
          <w:lang w:val="id-ID"/>
          <w14:ligatures w14:val="none"/>
        </w:rPr>
        <w:t>Indeks Sosial</w:t>
      </w:r>
      <w:r>
        <w:rPr>
          <w:rFonts w:eastAsia="Times New Roman" w:cstheme="minorHAnsi"/>
          <w:color w:val="000000"/>
          <w:kern w:val="0"/>
          <w:sz w:val="24"/>
          <w:szCs w:val="24"/>
          <w:lang w:val="id-ID"/>
          <w14:ligatures w14:val="none"/>
        </w:rPr>
        <w:t xml:space="preserve">. Delapan indikator tersebut mencakup </w:t>
      </w:r>
      <w:r w:rsidR="006B3A03" w:rsidRPr="001A5072">
        <w:rPr>
          <w:rFonts w:eastAsia="Times New Roman" w:cstheme="minorHAnsi"/>
          <w:color w:val="000000"/>
          <w:kern w:val="0"/>
          <w:sz w:val="24"/>
          <w:szCs w:val="24"/>
          <w:lang w:val="id-ID"/>
          <w14:ligatures w14:val="none"/>
        </w:rPr>
        <w:t xml:space="preserve">persentase penduduk miskin, tingkat pengangguran terbuka (TPT), </w:t>
      </w:r>
      <w:proofErr w:type="spellStart"/>
      <w:r w:rsidR="006B3A03" w:rsidRPr="001A5072">
        <w:rPr>
          <w:rFonts w:eastAsia="Times New Roman" w:cstheme="minorHAnsi"/>
          <w:i/>
          <w:iCs/>
          <w:color w:val="000000"/>
          <w:kern w:val="0"/>
          <w:sz w:val="24"/>
          <w:szCs w:val="24"/>
          <w:lang w:val="id-ID"/>
          <w14:ligatures w14:val="none"/>
        </w:rPr>
        <w:t>dependency</w:t>
      </w:r>
      <w:proofErr w:type="spellEnd"/>
      <w:r w:rsidR="006B3A03" w:rsidRPr="001A5072">
        <w:rPr>
          <w:rFonts w:eastAsia="Times New Roman" w:cstheme="minorHAnsi"/>
          <w:i/>
          <w:iCs/>
          <w:color w:val="000000"/>
          <w:kern w:val="0"/>
          <w:sz w:val="24"/>
          <w:szCs w:val="24"/>
          <w:lang w:val="id-ID"/>
          <w14:ligatures w14:val="none"/>
        </w:rPr>
        <w:t xml:space="preserve"> </w:t>
      </w:r>
      <w:proofErr w:type="spellStart"/>
      <w:r w:rsidR="006B3A03" w:rsidRPr="001A5072">
        <w:rPr>
          <w:rFonts w:eastAsia="Times New Roman" w:cstheme="minorHAnsi"/>
          <w:i/>
          <w:iCs/>
          <w:color w:val="000000"/>
          <w:kern w:val="0"/>
          <w:sz w:val="24"/>
          <w:szCs w:val="24"/>
          <w:lang w:val="id-ID"/>
          <w14:ligatures w14:val="none"/>
        </w:rPr>
        <w:t>ratio</w:t>
      </w:r>
      <w:proofErr w:type="spellEnd"/>
      <w:r w:rsidR="006B3A03" w:rsidRPr="001A5072">
        <w:rPr>
          <w:rFonts w:eastAsia="Times New Roman" w:cstheme="minorHAnsi"/>
          <w:color w:val="000000"/>
          <w:kern w:val="0"/>
          <w:sz w:val="24"/>
          <w:szCs w:val="24"/>
          <w:lang w:val="id-ID"/>
          <w14:ligatures w14:val="none"/>
        </w:rPr>
        <w:t>, serta rasio belanja makanan</w:t>
      </w:r>
      <w:r w:rsidR="004E536F" w:rsidRPr="001A5072">
        <w:rPr>
          <w:rFonts w:eastAsia="Times New Roman" w:cstheme="minorHAnsi"/>
          <w:color w:val="000000"/>
          <w:kern w:val="0"/>
          <w:sz w:val="24"/>
          <w:szCs w:val="24"/>
          <w:lang w:val="id-ID"/>
          <w14:ligatures w14:val="none"/>
        </w:rPr>
        <w:t xml:space="preserve"> terhadap total pengeluaran</w:t>
      </w:r>
      <w:r w:rsidR="006B3A03" w:rsidRPr="001A5072">
        <w:rPr>
          <w:rFonts w:eastAsia="Times New Roman" w:cstheme="minorHAnsi"/>
          <w:color w:val="000000"/>
          <w:kern w:val="0"/>
          <w:sz w:val="24"/>
          <w:szCs w:val="24"/>
          <w:lang w:val="id-ID"/>
          <w14:ligatures w14:val="none"/>
        </w:rPr>
        <w:t>. Selain itu, indeks ini mengintegrasikan variabel umur harapan hidup (UHH), harapan lama sekolah (HLS), rata-rata lama sekolah (RLS), dan pengeluaran riil per kapita</w:t>
      </w:r>
      <w:r w:rsidR="004E536F" w:rsidRPr="001A5072">
        <w:rPr>
          <w:rFonts w:eastAsia="Times New Roman" w:cstheme="minorHAnsi"/>
          <w:color w:val="000000"/>
          <w:kern w:val="0"/>
          <w:sz w:val="24"/>
          <w:szCs w:val="24"/>
          <w:lang w:val="id-ID"/>
          <w14:ligatures w14:val="none"/>
        </w:rPr>
        <w:t xml:space="preserve"> per tahun</w:t>
      </w:r>
      <w:r w:rsidR="006B3A03" w:rsidRPr="001A5072">
        <w:rPr>
          <w:rFonts w:eastAsia="Times New Roman" w:cstheme="minorHAnsi"/>
          <w:color w:val="000000"/>
          <w:kern w:val="0"/>
          <w:sz w:val="24"/>
          <w:szCs w:val="24"/>
          <w:lang w:val="id-ID"/>
          <w14:ligatures w14:val="none"/>
        </w:rPr>
        <w:t xml:space="preserve"> yang disesuaikan.</w:t>
      </w:r>
    </w:p>
    <w:p w14:paraId="4EB5C29B" w14:textId="5BEC5160" w:rsidR="001A5072" w:rsidRDefault="001A5072" w:rsidP="001867EF">
      <w:pPr>
        <w:spacing w:before="240" w:after="240" w:line="240" w:lineRule="auto"/>
        <w:jc w:val="both"/>
        <w:rPr>
          <w:rFonts w:eastAsia="Times New Roman" w:cstheme="minorHAnsi"/>
          <w:color w:val="000000"/>
          <w:kern w:val="0"/>
          <w:sz w:val="24"/>
          <w:szCs w:val="24"/>
          <w:lang w:val="id-ID"/>
          <w14:ligatures w14:val="none"/>
        </w:rPr>
      </w:pPr>
      <w:r>
        <w:rPr>
          <w:rFonts w:eastAsia="Times New Roman" w:cstheme="minorHAnsi"/>
          <w:color w:val="000000"/>
          <w:kern w:val="0"/>
          <w:sz w:val="24"/>
          <w:szCs w:val="24"/>
          <w:lang w:val="id-ID"/>
          <w14:ligatures w14:val="none"/>
        </w:rPr>
        <w:t xml:space="preserve">Dari hasil analisis, </w:t>
      </w:r>
      <w:r w:rsidR="006B3A03" w:rsidRPr="001A5072">
        <w:rPr>
          <w:rFonts w:eastAsia="Times New Roman" w:cstheme="minorHAnsi"/>
          <w:color w:val="000000"/>
          <w:kern w:val="0"/>
          <w:sz w:val="24"/>
          <w:szCs w:val="24"/>
          <w:lang w:val="id-ID"/>
          <w14:ligatures w14:val="none"/>
        </w:rPr>
        <w:t xml:space="preserve">rata-rata Indeks Sosial Indonesia </w:t>
      </w:r>
      <w:r>
        <w:rPr>
          <w:rFonts w:eastAsia="Times New Roman" w:cstheme="minorHAnsi"/>
          <w:color w:val="000000"/>
          <w:kern w:val="0"/>
          <w:sz w:val="24"/>
          <w:szCs w:val="24"/>
          <w:lang w:val="id-ID"/>
          <w14:ligatures w14:val="none"/>
        </w:rPr>
        <w:t xml:space="preserve">secara nasional </w:t>
      </w:r>
      <w:r w:rsidR="006B3A03" w:rsidRPr="001A5072">
        <w:rPr>
          <w:rFonts w:eastAsia="Times New Roman" w:cstheme="minorHAnsi"/>
          <w:color w:val="000000"/>
          <w:kern w:val="0"/>
          <w:sz w:val="24"/>
          <w:szCs w:val="24"/>
          <w:lang w:val="id-ID"/>
          <w14:ligatures w14:val="none"/>
        </w:rPr>
        <w:t xml:space="preserve">pada tahun 2024 berada di level 64,66, sebuah angka yang menjadi batas garis bagi daerah untuk dikategorikan memiliki kualitas hidup di atas atau di bawah standar nasional. </w:t>
      </w:r>
      <w:r>
        <w:rPr>
          <w:rFonts w:eastAsia="Times New Roman" w:cstheme="minorHAnsi"/>
          <w:color w:val="000000"/>
          <w:kern w:val="0"/>
          <w:sz w:val="24"/>
          <w:szCs w:val="24"/>
          <w:lang w:val="id-ID"/>
          <w14:ligatures w14:val="none"/>
        </w:rPr>
        <w:t>“Agar adil, penilaian dilakukan berdasarkan pengelompokan wilayah, yakni terbaik di Sumatra, Jawa dan Bali, Nusa Tenggara dan Maluku, Kalimantan, Sulawesi, dan Papua,” ujar Ade Holis.</w:t>
      </w:r>
    </w:p>
    <w:p w14:paraId="49FD0BE8" w14:textId="2DE96BED" w:rsidR="009F73C6" w:rsidRPr="001A5072" w:rsidRDefault="009F73C6" w:rsidP="001867EF">
      <w:pPr>
        <w:spacing w:before="240" w:after="240" w:line="240" w:lineRule="auto"/>
        <w:jc w:val="both"/>
        <w:rPr>
          <w:rFonts w:eastAsia="Times New Roman" w:cstheme="minorHAnsi"/>
          <w:color w:val="000000"/>
          <w:kern w:val="0"/>
          <w:sz w:val="24"/>
          <w:szCs w:val="24"/>
          <w:lang w:val="id-ID"/>
          <w14:ligatures w14:val="none"/>
        </w:rPr>
      </w:pPr>
      <w:r w:rsidRPr="001A5072">
        <w:rPr>
          <w:rFonts w:eastAsia="Times New Roman" w:cstheme="minorHAnsi"/>
          <w:color w:val="000000"/>
          <w:kern w:val="0"/>
          <w:sz w:val="24"/>
          <w:szCs w:val="24"/>
          <w:lang w:val="id-ID"/>
          <w14:ligatures w14:val="none"/>
        </w:rPr>
        <w:t>Hasil analisis NEXT Indonesia Center menunjukkan, s</w:t>
      </w:r>
      <w:r w:rsidR="006B3A03" w:rsidRPr="001A5072">
        <w:rPr>
          <w:rFonts w:eastAsia="Times New Roman" w:cstheme="minorHAnsi"/>
          <w:color w:val="000000"/>
          <w:kern w:val="0"/>
          <w:sz w:val="24"/>
          <w:szCs w:val="24"/>
          <w:lang w:val="id-ID"/>
          <w14:ligatures w14:val="none"/>
        </w:rPr>
        <w:t xml:space="preserve">ejumlah kota besar berhasil tampil menonjol sebagai </w:t>
      </w:r>
      <w:r w:rsidRPr="001A5072">
        <w:rPr>
          <w:rFonts w:eastAsia="Times New Roman" w:cstheme="minorHAnsi"/>
          <w:color w:val="000000"/>
          <w:kern w:val="0"/>
          <w:sz w:val="24"/>
          <w:szCs w:val="24"/>
          <w:lang w:val="id-ID"/>
          <w14:ligatures w14:val="none"/>
        </w:rPr>
        <w:t>daerah</w:t>
      </w:r>
      <w:r w:rsidR="006B3A03" w:rsidRPr="001A5072">
        <w:rPr>
          <w:rFonts w:eastAsia="Times New Roman" w:cstheme="minorHAnsi"/>
          <w:color w:val="000000"/>
          <w:kern w:val="0"/>
          <w:sz w:val="24"/>
          <w:szCs w:val="24"/>
          <w:lang w:val="id-ID"/>
          <w14:ligatures w14:val="none"/>
        </w:rPr>
        <w:t xml:space="preserve"> dengan kualitas hidup </w:t>
      </w:r>
      <w:r w:rsidRPr="001A5072">
        <w:rPr>
          <w:rFonts w:eastAsia="Times New Roman" w:cstheme="minorHAnsi"/>
          <w:color w:val="000000"/>
          <w:kern w:val="0"/>
          <w:sz w:val="24"/>
          <w:szCs w:val="24"/>
          <w:lang w:val="id-ID"/>
          <w14:ligatures w14:val="none"/>
        </w:rPr>
        <w:t>terbaik</w:t>
      </w:r>
      <w:r w:rsidR="006B3A03" w:rsidRPr="001A5072">
        <w:rPr>
          <w:rFonts w:eastAsia="Times New Roman" w:cstheme="minorHAnsi"/>
          <w:color w:val="000000"/>
          <w:kern w:val="0"/>
          <w:sz w:val="24"/>
          <w:szCs w:val="24"/>
          <w:lang w:val="id-ID"/>
          <w14:ligatures w14:val="none"/>
        </w:rPr>
        <w:t xml:space="preserve">, </w:t>
      </w:r>
      <w:r w:rsidRPr="001A5072">
        <w:rPr>
          <w:rFonts w:eastAsia="Times New Roman" w:cstheme="minorHAnsi"/>
          <w:color w:val="000000"/>
          <w:kern w:val="0"/>
          <w:sz w:val="24"/>
          <w:szCs w:val="24"/>
          <w:lang w:val="id-ID"/>
          <w14:ligatures w14:val="none"/>
        </w:rPr>
        <w:t xml:space="preserve">yakni </w:t>
      </w:r>
      <w:r w:rsidR="006B3A03" w:rsidRPr="001A5072">
        <w:rPr>
          <w:rFonts w:eastAsia="Times New Roman" w:cstheme="minorHAnsi"/>
          <w:color w:val="000000"/>
          <w:kern w:val="0"/>
          <w:sz w:val="24"/>
          <w:szCs w:val="24"/>
          <w:lang w:val="id-ID"/>
          <w14:ligatures w14:val="none"/>
        </w:rPr>
        <w:t>Denpasar, Banda Aceh, K</w:t>
      </w:r>
      <w:r w:rsidRPr="001A5072">
        <w:rPr>
          <w:rFonts w:eastAsia="Times New Roman" w:cstheme="minorHAnsi"/>
          <w:color w:val="000000"/>
          <w:kern w:val="0"/>
          <w:sz w:val="24"/>
          <w:szCs w:val="24"/>
          <w:lang w:val="id-ID"/>
          <w14:ligatures w14:val="none"/>
        </w:rPr>
        <w:t>upang, K</w:t>
      </w:r>
      <w:r w:rsidR="006B3A03" w:rsidRPr="001A5072">
        <w:rPr>
          <w:rFonts w:eastAsia="Times New Roman" w:cstheme="minorHAnsi"/>
          <w:color w:val="000000"/>
          <w:kern w:val="0"/>
          <w:sz w:val="24"/>
          <w:szCs w:val="24"/>
          <w:lang w:val="id-ID"/>
          <w14:ligatures w14:val="none"/>
        </w:rPr>
        <w:t>endari, Samarinda</w:t>
      </w:r>
      <w:r w:rsidRPr="001A5072">
        <w:rPr>
          <w:rFonts w:eastAsia="Times New Roman" w:cstheme="minorHAnsi"/>
          <w:color w:val="000000"/>
          <w:kern w:val="0"/>
          <w:sz w:val="24"/>
          <w:szCs w:val="24"/>
          <w:lang w:val="id-ID"/>
          <w14:ligatures w14:val="none"/>
        </w:rPr>
        <w:t>, hingga Jayapura.</w:t>
      </w:r>
      <w:r w:rsidR="001A5072">
        <w:rPr>
          <w:rFonts w:eastAsia="Times New Roman" w:cstheme="minorHAnsi"/>
          <w:color w:val="000000"/>
          <w:kern w:val="0"/>
          <w:sz w:val="24"/>
          <w:szCs w:val="24"/>
          <w:lang w:val="id-ID"/>
          <w14:ligatures w14:val="none"/>
        </w:rPr>
        <w:t xml:space="preserve"> Mereka adalah daerah-daerah terbaik dengan Indeks Sosial tertinggi di masing-masing wilayahnya.</w:t>
      </w:r>
    </w:p>
    <w:p w14:paraId="68881BC8" w14:textId="77777777" w:rsidR="006B3A03" w:rsidRPr="001A5072" w:rsidRDefault="006B3A03" w:rsidP="001867EF">
      <w:pPr>
        <w:spacing w:before="240" w:after="24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t>Kota Denpasar menempati posisi puncak nasional dengan skor Indeks Sosial tertinggi mencapai 94,80 pada tahun 2024. Ibu kota Provinsi Bali ini menunjukkan profil sosial-ekonomi yang sangat solid, ditandai oleh tingkat kemiskinan rendah sebesar 2,59% serta tingkat pengangguran terbuka yang hanya 2,11%.</w:t>
      </w:r>
    </w:p>
    <w:p w14:paraId="489EBE7E" w14:textId="66A3EDB3" w:rsidR="006B3A03" w:rsidRPr="001A5072" w:rsidRDefault="003E531E" w:rsidP="001867EF">
      <w:pPr>
        <w:spacing w:before="240" w:after="240" w:line="240" w:lineRule="auto"/>
        <w:jc w:val="both"/>
        <w:rPr>
          <w:rFonts w:eastAsia="Times New Roman" w:cstheme="minorHAnsi"/>
          <w:color w:val="000000"/>
          <w:kern w:val="0"/>
          <w:sz w:val="24"/>
          <w:szCs w:val="24"/>
          <w:lang w:val="id-ID"/>
          <w14:ligatures w14:val="none"/>
        </w:rPr>
      </w:pPr>
      <w:r w:rsidRPr="001A5072">
        <w:rPr>
          <w:rFonts w:eastAsia="Times New Roman" w:cstheme="minorHAnsi"/>
          <w:color w:val="000000"/>
          <w:kern w:val="0"/>
          <w:sz w:val="24"/>
          <w:szCs w:val="24"/>
          <w:lang w:val="id-ID"/>
          <w14:ligatures w14:val="none"/>
        </w:rPr>
        <w:t>“S</w:t>
      </w:r>
      <w:r w:rsidR="006B3A03" w:rsidRPr="001A5072">
        <w:rPr>
          <w:rFonts w:eastAsia="Times New Roman" w:cstheme="minorHAnsi"/>
          <w:color w:val="000000"/>
          <w:kern w:val="0"/>
          <w:sz w:val="24"/>
          <w:szCs w:val="24"/>
          <w:lang w:val="id-ID"/>
          <w14:ligatures w14:val="none"/>
        </w:rPr>
        <w:t>truktur konsumsi di Denpasar menjadi indikator kemajuan yang nyata.</w:t>
      </w:r>
      <w:r w:rsidRPr="001A5072">
        <w:rPr>
          <w:rFonts w:eastAsia="Times New Roman" w:cstheme="minorHAnsi"/>
          <w:color w:val="000000"/>
          <w:kern w:val="0"/>
          <w:sz w:val="24"/>
          <w:szCs w:val="24"/>
          <w:lang w:val="id-ID"/>
          <w14:ligatures w14:val="none"/>
        </w:rPr>
        <w:t xml:space="preserve"> </w:t>
      </w:r>
      <w:r w:rsidR="006B3A03" w:rsidRPr="001A5072">
        <w:rPr>
          <w:rFonts w:eastAsia="Times New Roman" w:cstheme="minorHAnsi"/>
          <w:color w:val="000000"/>
          <w:kern w:val="0"/>
          <w:sz w:val="24"/>
          <w:szCs w:val="24"/>
          <w:lang w:val="id-ID"/>
          <w14:ligatures w14:val="none"/>
        </w:rPr>
        <w:t xml:space="preserve">Rasio belanja makanan yang rendah di Denpasar, yakni 42,24%, menunjukkan bahwa mayoritas rumah tangga telah melewati fase pemenuhan kebutuhan dasar </w:t>
      </w:r>
      <w:r w:rsidR="00B51680" w:rsidRPr="001A5072">
        <w:rPr>
          <w:rFonts w:eastAsia="Times New Roman" w:cstheme="minorHAnsi"/>
          <w:color w:val="000000"/>
          <w:kern w:val="0"/>
          <w:sz w:val="24"/>
          <w:szCs w:val="24"/>
          <w:lang w:val="id-ID"/>
          <w14:ligatures w14:val="none"/>
        </w:rPr>
        <w:t>sehingga kualitas hidup meningkat secara substanti</w:t>
      </w:r>
      <w:r w:rsidR="00D37308" w:rsidRPr="001A5072">
        <w:rPr>
          <w:rFonts w:eastAsia="Times New Roman" w:cstheme="minorHAnsi"/>
          <w:color w:val="000000"/>
          <w:kern w:val="0"/>
          <w:sz w:val="24"/>
          <w:szCs w:val="24"/>
          <w:lang w:val="id-ID"/>
          <w14:ligatures w14:val="none"/>
        </w:rPr>
        <w:t>f</w:t>
      </w:r>
      <w:r w:rsidR="00B51680" w:rsidRPr="001A5072">
        <w:rPr>
          <w:rFonts w:eastAsia="Times New Roman" w:cstheme="minorHAnsi"/>
          <w:color w:val="000000"/>
          <w:kern w:val="0"/>
          <w:sz w:val="24"/>
          <w:szCs w:val="24"/>
          <w:lang w:val="id-ID"/>
          <w14:ligatures w14:val="none"/>
        </w:rPr>
        <w:t xml:space="preserve">,” </w:t>
      </w:r>
      <w:r w:rsidRPr="001A5072">
        <w:rPr>
          <w:rFonts w:eastAsia="Times New Roman" w:cstheme="minorHAnsi"/>
          <w:color w:val="000000"/>
          <w:kern w:val="0"/>
          <w:sz w:val="24"/>
          <w:szCs w:val="24"/>
          <w:lang w:val="id-ID"/>
          <w14:ligatures w14:val="none"/>
        </w:rPr>
        <w:t xml:space="preserve">ungkap </w:t>
      </w:r>
      <w:r w:rsidR="00033792" w:rsidRPr="001A5072">
        <w:rPr>
          <w:rFonts w:eastAsia="Times New Roman" w:cstheme="minorHAnsi"/>
          <w:color w:val="000000"/>
          <w:kern w:val="0"/>
          <w:sz w:val="24"/>
          <w:szCs w:val="24"/>
          <w:lang w:val="id-ID"/>
          <w14:ligatures w14:val="none"/>
        </w:rPr>
        <w:t>Ade</w:t>
      </w:r>
      <w:r w:rsidRPr="001A5072">
        <w:rPr>
          <w:rFonts w:eastAsia="Times New Roman" w:cstheme="minorHAnsi"/>
          <w:color w:val="000000"/>
          <w:kern w:val="0"/>
          <w:sz w:val="24"/>
          <w:szCs w:val="24"/>
          <w:lang w:val="id-ID"/>
          <w14:ligatures w14:val="none"/>
        </w:rPr>
        <w:t xml:space="preserve">. </w:t>
      </w:r>
    </w:p>
    <w:p w14:paraId="3B9D5BD8" w14:textId="034B7C2F" w:rsidR="001912C0" w:rsidRPr="001A5072" w:rsidRDefault="00696A93" w:rsidP="001867EF">
      <w:pPr>
        <w:spacing w:after="0" w:line="240" w:lineRule="auto"/>
        <w:jc w:val="both"/>
        <w:rPr>
          <w:rFonts w:eastAsia="Times New Roman" w:cstheme="minorHAnsi"/>
          <w:color w:val="000000"/>
          <w:kern w:val="0"/>
          <w:sz w:val="24"/>
          <w:szCs w:val="24"/>
          <w:lang w:val="id-ID"/>
          <w14:ligatures w14:val="none"/>
        </w:rPr>
      </w:pPr>
      <w:r w:rsidRPr="001A5072">
        <w:rPr>
          <w:rFonts w:eastAsia="Times New Roman" w:cstheme="minorHAnsi"/>
          <w:color w:val="000000"/>
          <w:kern w:val="0"/>
          <w:sz w:val="24"/>
          <w:szCs w:val="24"/>
          <w:lang w:val="id-ID"/>
          <w14:ligatures w14:val="none"/>
        </w:rPr>
        <w:t>Selanjutnya ada</w:t>
      </w:r>
      <w:r w:rsidR="006B3A03" w:rsidRPr="001A5072">
        <w:rPr>
          <w:rFonts w:eastAsia="Times New Roman" w:cstheme="minorHAnsi"/>
          <w:color w:val="000000"/>
          <w:kern w:val="0"/>
          <w:sz w:val="24"/>
          <w:szCs w:val="24"/>
          <w:lang w:val="id-ID"/>
          <w14:ligatures w14:val="none"/>
        </w:rPr>
        <w:t xml:space="preserve"> Kota Banda Aceh</w:t>
      </w:r>
      <w:r w:rsidRPr="001A5072">
        <w:rPr>
          <w:rFonts w:eastAsia="Times New Roman" w:cstheme="minorHAnsi"/>
          <w:color w:val="000000"/>
          <w:kern w:val="0"/>
          <w:sz w:val="24"/>
          <w:szCs w:val="24"/>
          <w:lang w:val="id-ID"/>
          <w14:ligatures w14:val="none"/>
        </w:rPr>
        <w:t xml:space="preserve"> yang</w:t>
      </w:r>
      <w:r w:rsidR="006B3A03" w:rsidRPr="001A5072">
        <w:rPr>
          <w:rFonts w:eastAsia="Times New Roman" w:cstheme="minorHAnsi"/>
          <w:color w:val="000000"/>
          <w:kern w:val="0"/>
          <w:sz w:val="24"/>
          <w:szCs w:val="24"/>
          <w:lang w:val="id-ID"/>
          <w14:ligatures w14:val="none"/>
        </w:rPr>
        <w:t xml:space="preserve"> memimpin klaster Sumatra dengan Indeks Sosial 87,10. Keunggulan Banda Aceh terutama ditopang</w:t>
      </w:r>
      <w:r w:rsidR="001912C0" w:rsidRPr="001A5072">
        <w:rPr>
          <w:rFonts w:eastAsia="Times New Roman" w:cstheme="minorHAnsi"/>
          <w:color w:val="000000"/>
          <w:kern w:val="0"/>
          <w:sz w:val="24"/>
          <w:szCs w:val="24"/>
          <w:lang w:val="id-ID"/>
          <w14:ligatures w14:val="none"/>
        </w:rPr>
        <w:t xml:space="preserve"> oleh</w:t>
      </w:r>
      <w:r w:rsidR="006B3A03" w:rsidRPr="001A5072">
        <w:rPr>
          <w:rFonts w:eastAsia="Times New Roman" w:cstheme="minorHAnsi"/>
          <w:color w:val="000000"/>
          <w:kern w:val="0"/>
          <w:sz w:val="24"/>
          <w:szCs w:val="24"/>
          <w:lang w:val="id-ID"/>
          <w14:ligatures w14:val="none"/>
        </w:rPr>
        <w:t xml:space="preserve"> </w:t>
      </w:r>
      <w:r w:rsidR="001912C0" w:rsidRPr="001A5072">
        <w:rPr>
          <w:rFonts w:eastAsia="Times New Roman" w:cstheme="minorHAnsi"/>
          <w:kern w:val="0"/>
          <w:sz w:val="24"/>
          <w:szCs w:val="24"/>
          <w:lang w:val="id-ID"/>
          <w14:ligatures w14:val="none"/>
        </w:rPr>
        <w:t xml:space="preserve">indikator pendidikan dan kesehatan yang sangat kuat. </w:t>
      </w:r>
      <w:r w:rsidR="006B3A03" w:rsidRPr="001A5072">
        <w:rPr>
          <w:rFonts w:eastAsia="Times New Roman" w:cstheme="minorHAnsi"/>
          <w:color w:val="000000"/>
          <w:kern w:val="0"/>
          <w:sz w:val="24"/>
          <w:szCs w:val="24"/>
          <w:lang w:val="id-ID"/>
          <w14:ligatures w14:val="none"/>
        </w:rPr>
        <w:t xml:space="preserve">Menurut </w:t>
      </w:r>
      <w:r w:rsidR="0045376E" w:rsidRPr="001A5072">
        <w:rPr>
          <w:rFonts w:eastAsia="Times New Roman" w:cstheme="minorHAnsi"/>
          <w:color w:val="000000"/>
          <w:kern w:val="0"/>
          <w:sz w:val="24"/>
          <w:szCs w:val="24"/>
          <w:lang w:val="id-ID"/>
          <w14:ligatures w14:val="none"/>
        </w:rPr>
        <w:t>Ade</w:t>
      </w:r>
      <w:r w:rsidR="006B3A03" w:rsidRPr="001A5072">
        <w:rPr>
          <w:rFonts w:eastAsia="Times New Roman" w:cstheme="minorHAnsi"/>
          <w:color w:val="000000"/>
          <w:kern w:val="0"/>
          <w:sz w:val="24"/>
          <w:szCs w:val="24"/>
          <w:lang w:val="id-ID"/>
          <w14:ligatures w14:val="none"/>
        </w:rPr>
        <w:t xml:space="preserve">, Banda Aceh membuktikan </w:t>
      </w:r>
      <w:r w:rsidR="00BC361A" w:rsidRPr="001A5072">
        <w:rPr>
          <w:rFonts w:eastAsia="Times New Roman" w:cstheme="minorHAnsi"/>
          <w:color w:val="000000"/>
          <w:kern w:val="0"/>
          <w:sz w:val="24"/>
          <w:szCs w:val="24"/>
          <w:lang w:val="id-ID"/>
          <w14:ligatures w14:val="none"/>
        </w:rPr>
        <w:t xml:space="preserve">bahwa </w:t>
      </w:r>
      <w:r w:rsidR="006B3A03" w:rsidRPr="001A5072">
        <w:rPr>
          <w:rFonts w:eastAsia="Times New Roman" w:cstheme="minorHAnsi"/>
          <w:color w:val="000000"/>
          <w:kern w:val="0"/>
          <w:sz w:val="24"/>
          <w:szCs w:val="24"/>
          <w:lang w:val="id-ID"/>
          <w14:ligatures w14:val="none"/>
        </w:rPr>
        <w:t>kualitas hidup bisa unggul meski bukan wilayah industri besar</w:t>
      </w:r>
      <w:r w:rsidR="001912C0" w:rsidRPr="001A5072">
        <w:rPr>
          <w:rFonts w:eastAsia="Times New Roman" w:cstheme="minorHAnsi"/>
          <w:color w:val="000000"/>
          <w:kern w:val="0"/>
          <w:sz w:val="24"/>
          <w:szCs w:val="24"/>
          <w:lang w:val="id-ID"/>
          <w14:ligatures w14:val="none"/>
        </w:rPr>
        <w:t>.</w:t>
      </w:r>
    </w:p>
    <w:p w14:paraId="5ADECA37" w14:textId="77777777" w:rsidR="00B52470" w:rsidRPr="001A5072" w:rsidRDefault="00B52470" w:rsidP="001867EF">
      <w:pPr>
        <w:spacing w:after="0" w:line="240" w:lineRule="auto"/>
        <w:jc w:val="both"/>
        <w:rPr>
          <w:rFonts w:eastAsia="Times New Roman" w:cstheme="minorHAnsi"/>
          <w:color w:val="000000"/>
          <w:kern w:val="0"/>
          <w:sz w:val="24"/>
          <w:szCs w:val="24"/>
          <w:lang w:val="id-ID"/>
          <w14:ligatures w14:val="none"/>
        </w:rPr>
      </w:pPr>
    </w:p>
    <w:p w14:paraId="6E1FCC8B" w14:textId="2AA90EBB" w:rsidR="001912C0" w:rsidRPr="001A5072" w:rsidRDefault="00AD5F86" w:rsidP="001867EF">
      <w:pPr>
        <w:spacing w:after="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lastRenderedPageBreak/>
        <w:t>“</w:t>
      </w:r>
      <w:r w:rsidR="001912C0" w:rsidRPr="001A5072">
        <w:rPr>
          <w:rFonts w:eastAsia="Times New Roman" w:cstheme="minorHAnsi"/>
          <w:kern w:val="0"/>
          <w:sz w:val="24"/>
          <w:szCs w:val="24"/>
          <w:lang w:val="id-ID"/>
          <w14:ligatures w14:val="none"/>
        </w:rPr>
        <w:t xml:space="preserve">Harapan lama sekolah masyarakat Banda Aceh mencapai 17,94 tahun, rata-rata lama sekolah 13,10 tahun, serta umur harapan hidup 75,25 tahun, yang seluruhnya berada di atas rata-rata Indonesia. Capaian ini mencerminkan keberhasilan akumulasi modal manusia dalam jangka </w:t>
      </w:r>
      <w:r w:rsidR="00BC361A" w:rsidRPr="001A5072">
        <w:rPr>
          <w:rFonts w:eastAsia="Times New Roman" w:cstheme="minorHAnsi"/>
          <w:kern w:val="0"/>
          <w:sz w:val="24"/>
          <w:szCs w:val="24"/>
          <w:lang w:val="id-ID"/>
          <w14:ligatures w14:val="none"/>
        </w:rPr>
        <w:t>p</w:t>
      </w:r>
      <w:r w:rsidR="001912C0" w:rsidRPr="001A5072">
        <w:rPr>
          <w:rFonts w:eastAsia="Times New Roman" w:cstheme="minorHAnsi"/>
          <w:kern w:val="0"/>
          <w:sz w:val="24"/>
          <w:szCs w:val="24"/>
          <w:lang w:val="id-ID"/>
          <w14:ligatures w14:val="none"/>
        </w:rPr>
        <w:t xml:space="preserve">anjang,” pungkasnya. </w:t>
      </w:r>
    </w:p>
    <w:p w14:paraId="4F6641C3" w14:textId="54F6F27F" w:rsidR="001912C0" w:rsidRPr="001A5072" w:rsidRDefault="001912C0" w:rsidP="001867EF">
      <w:pPr>
        <w:spacing w:after="0" w:line="240" w:lineRule="auto"/>
        <w:jc w:val="both"/>
        <w:rPr>
          <w:rFonts w:eastAsia="Times New Roman" w:cstheme="minorHAnsi"/>
          <w:color w:val="000000"/>
          <w:kern w:val="0"/>
          <w:sz w:val="24"/>
          <w:szCs w:val="24"/>
          <w:lang w:val="id-ID"/>
          <w14:ligatures w14:val="none"/>
        </w:rPr>
      </w:pPr>
    </w:p>
    <w:p w14:paraId="3B7BD98D" w14:textId="676C405B" w:rsidR="006B3A03" w:rsidRPr="001A5072" w:rsidRDefault="006B3A03" w:rsidP="001867EF">
      <w:pPr>
        <w:spacing w:after="0" w:line="240" w:lineRule="auto"/>
        <w:jc w:val="both"/>
        <w:rPr>
          <w:rFonts w:eastAsia="Times New Roman" w:cstheme="minorHAnsi"/>
          <w:color w:val="000000"/>
          <w:kern w:val="0"/>
          <w:sz w:val="24"/>
          <w:szCs w:val="24"/>
          <w:lang w:val="id-ID"/>
          <w14:ligatures w14:val="none"/>
        </w:rPr>
      </w:pPr>
      <w:r w:rsidRPr="001A5072">
        <w:rPr>
          <w:rFonts w:eastAsia="Times New Roman" w:cstheme="minorHAnsi"/>
          <w:color w:val="000000"/>
          <w:kern w:val="0"/>
          <w:sz w:val="24"/>
          <w:szCs w:val="24"/>
          <w:lang w:val="id-ID"/>
          <w14:ligatures w14:val="none"/>
        </w:rPr>
        <w:t>Di wilayah Sulawesi, Kota Kendari menjadi yang terbaik dengan skor 85,27. Sama seperti Banda Aceh, Kendari mengandalkan modal manusia dengan angka harapan lama sekolah mencapai 16,92 tahun dan umur harapan hidup 75</w:t>
      </w:r>
      <w:r w:rsidR="00695630" w:rsidRPr="001A5072">
        <w:rPr>
          <w:rFonts w:eastAsia="Times New Roman" w:cstheme="minorHAnsi"/>
          <w:color w:val="000000"/>
          <w:kern w:val="0"/>
          <w:sz w:val="24"/>
          <w:szCs w:val="24"/>
          <w:lang w:val="id-ID"/>
          <w14:ligatures w14:val="none"/>
        </w:rPr>
        <w:t>,47</w:t>
      </w:r>
      <w:r w:rsidRPr="001A5072">
        <w:rPr>
          <w:rFonts w:eastAsia="Times New Roman" w:cstheme="minorHAnsi"/>
          <w:color w:val="000000"/>
          <w:kern w:val="0"/>
          <w:sz w:val="24"/>
          <w:szCs w:val="24"/>
          <w:lang w:val="id-ID"/>
          <w14:ligatures w14:val="none"/>
        </w:rPr>
        <w:t xml:space="preserve"> tahun.</w:t>
      </w:r>
    </w:p>
    <w:p w14:paraId="1955D42F" w14:textId="68B689E2" w:rsidR="006B3A03" w:rsidRPr="001A5072" w:rsidRDefault="002F7989" w:rsidP="001867EF">
      <w:pPr>
        <w:spacing w:before="240" w:after="24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t>K</w:t>
      </w:r>
      <w:r w:rsidR="006B3A03" w:rsidRPr="001A5072">
        <w:rPr>
          <w:rFonts w:eastAsia="Times New Roman" w:cstheme="minorHAnsi"/>
          <w:color w:val="000000"/>
          <w:kern w:val="0"/>
          <w:sz w:val="24"/>
          <w:szCs w:val="24"/>
          <w:lang w:val="id-ID"/>
          <w14:ligatures w14:val="none"/>
        </w:rPr>
        <w:t>ejutan muncul dari kawasan timur Indonesia, Kota Kupang mencatatkan Indeks Sosial sebesar 85,53. Di tengah tantangan ekonomi kawasan, Kupang mampu menunjukkan performa pendidikan yang jauh melampaui rata-rata kawasannya, dengan rata-rata lama sekolah 11,64 tahun dibanding rerata regional 8,58 tahun.</w:t>
      </w:r>
    </w:p>
    <w:p w14:paraId="0CB9E060" w14:textId="4CBD71B8" w:rsidR="006B3A03" w:rsidRPr="001A5072" w:rsidRDefault="005931ED" w:rsidP="001867EF">
      <w:pPr>
        <w:spacing w:before="240" w:after="24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t>“C</w:t>
      </w:r>
      <w:r w:rsidR="006B3A03" w:rsidRPr="001A5072">
        <w:rPr>
          <w:rFonts w:eastAsia="Times New Roman" w:cstheme="minorHAnsi"/>
          <w:color w:val="000000"/>
          <w:kern w:val="0"/>
          <w:sz w:val="24"/>
          <w:szCs w:val="24"/>
          <w:lang w:val="id-ID"/>
          <w14:ligatures w14:val="none"/>
        </w:rPr>
        <w:t xml:space="preserve">apaian Kupang sebagai bukti bahwa keterbatasan geografis bukan penghalang martabat hidup. Kupang menunjukkan bahwa akses luas terhadap pendidikan mampu mendorong kualitas hidup sosial ke level yang jauh lebih tinggi," </w:t>
      </w:r>
      <w:r w:rsidR="00210FC5" w:rsidRPr="001A5072">
        <w:rPr>
          <w:rFonts w:eastAsia="Times New Roman" w:cstheme="minorHAnsi"/>
          <w:color w:val="000000"/>
          <w:kern w:val="0"/>
          <w:sz w:val="24"/>
          <w:szCs w:val="24"/>
          <w:lang w:val="id-ID"/>
          <w14:ligatures w14:val="none"/>
        </w:rPr>
        <w:t xml:space="preserve">ujar </w:t>
      </w:r>
      <w:r w:rsidR="00804848" w:rsidRPr="001A5072">
        <w:rPr>
          <w:rFonts w:eastAsia="Times New Roman" w:cstheme="minorHAnsi"/>
          <w:color w:val="000000"/>
          <w:kern w:val="0"/>
          <w:sz w:val="24"/>
          <w:szCs w:val="24"/>
          <w:lang w:val="id-ID"/>
          <w14:ligatures w14:val="none"/>
        </w:rPr>
        <w:t>Ade</w:t>
      </w:r>
      <w:r w:rsidR="006B3A03" w:rsidRPr="001A5072">
        <w:rPr>
          <w:rFonts w:eastAsia="Times New Roman" w:cstheme="minorHAnsi"/>
          <w:color w:val="000000"/>
          <w:kern w:val="0"/>
          <w:sz w:val="24"/>
          <w:szCs w:val="24"/>
          <w:lang w:val="id-ID"/>
          <w14:ligatures w14:val="none"/>
        </w:rPr>
        <w:t>.</w:t>
      </w:r>
    </w:p>
    <w:p w14:paraId="362EC6FD" w14:textId="118FE281" w:rsidR="009B0682" w:rsidRPr="001A5072" w:rsidRDefault="006B3A03" w:rsidP="001867EF">
      <w:pPr>
        <w:spacing w:after="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t xml:space="preserve">Di Kalimantan, Kota Samarinda </w:t>
      </w:r>
      <w:r w:rsidR="009B0682" w:rsidRPr="001A5072">
        <w:rPr>
          <w:rFonts w:eastAsia="Times New Roman" w:cstheme="minorHAnsi"/>
          <w:color w:val="000000"/>
          <w:kern w:val="0"/>
          <w:sz w:val="24"/>
          <w:szCs w:val="24"/>
          <w:lang w:val="id-ID"/>
          <w14:ligatures w14:val="none"/>
        </w:rPr>
        <w:t>memiliki</w:t>
      </w:r>
      <w:r w:rsidRPr="001A5072">
        <w:rPr>
          <w:rFonts w:eastAsia="Times New Roman" w:cstheme="minorHAnsi"/>
          <w:color w:val="000000"/>
          <w:kern w:val="0"/>
          <w:sz w:val="24"/>
          <w:szCs w:val="24"/>
          <w:lang w:val="id-ID"/>
          <w14:ligatures w14:val="none"/>
        </w:rPr>
        <w:t xml:space="preserve"> nilai Indeks Sosial 84,43</w:t>
      </w:r>
      <w:r w:rsidR="009B0682" w:rsidRPr="001A5072">
        <w:rPr>
          <w:rFonts w:eastAsia="Times New Roman" w:cstheme="minorHAnsi"/>
          <w:color w:val="000000"/>
          <w:kern w:val="0"/>
          <w:sz w:val="24"/>
          <w:szCs w:val="24"/>
          <w:lang w:val="id-ID"/>
          <w14:ligatures w14:val="none"/>
        </w:rPr>
        <w:t xml:space="preserve">. Capaian ini ditopang </w:t>
      </w:r>
      <w:r w:rsidR="009B0682" w:rsidRPr="001A5072">
        <w:rPr>
          <w:rFonts w:eastAsia="Times New Roman" w:cstheme="minorHAnsi"/>
          <w:kern w:val="0"/>
          <w:sz w:val="24"/>
          <w:szCs w:val="24"/>
          <w:lang w:val="id-ID"/>
          <w14:ligatures w14:val="none"/>
        </w:rPr>
        <w:t xml:space="preserve">oleh tingkat kemiskinan yang rendah sebesar 4,30%. Di sisi lain, Ibu Kota Kalimantan Timur ini menorehkan pertumbuhan ekonomi yang tinggi di sepanjang 2024, angkanya tercatat 8,66%, lebih tinggi dari pertumbuhan ekonomi Provinsi Kalimantan Timur yang mencapai 6,17%. </w:t>
      </w:r>
    </w:p>
    <w:p w14:paraId="51FC0710" w14:textId="77777777" w:rsidR="006B3A03" w:rsidRPr="001A5072" w:rsidRDefault="006B3A03" w:rsidP="001867EF">
      <w:pPr>
        <w:spacing w:before="240" w:after="24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t>Sementara itu, Kota Jayapura tetap menjadi pusat kualitas hidup di Papua dengan skor 80,85. Jayapura berfungsi sebagai magnet kemajuan dengan angka rata-rata lama sekolah 12,07 tahun, yang menjadi pembeda signifikan bagi kualitas hidup di wilayah timur.</w:t>
      </w:r>
    </w:p>
    <w:p w14:paraId="2806A24E" w14:textId="1B093E60" w:rsidR="006B3A03" w:rsidRPr="001A5072" w:rsidRDefault="005C3BAD" w:rsidP="001867EF">
      <w:pPr>
        <w:spacing w:before="240" w:after="240" w:line="240" w:lineRule="auto"/>
        <w:jc w:val="both"/>
        <w:rPr>
          <w:rFonts w:eastAsia="Times New Roman" w:cstheme="minorHAnsi"/>
          <w:kern w:val="0"/>
          <w:sz w:val="24"/>
          <w:szCs w:val="24"/>
          <w:lang w:val="id-ID"/>
          <w14:ligatures w14:val="none"/>
        </w:rPr>
      </w:pPr>
      <w:r w:rsidRPr="001A5072">
        <w:rPr>
          <w:rFonts w:eastAsia="Times New Roman" w:cstheme="minorHAnsi"/>
          <w:color w:val="000000"/>
          <w:kern w:val="0"/>
          <w:sz w:val="24"/>
          <w:szCs w:val="24"/>
          <w:lang w:val="id-ID"/>
          <w14:ligatures w14:val="none"/>
        </w:rPr>
        <w:t>Kendati demikian,</w:t>
      </w:r>
      <w:r w:rsidR="00BC361A" w:rsidRPr="001A5072">
        <w:rPr>
          <w:rFonts w:eastAsia="Times New Roman" w:cstheme="minorHAnsi"/>
          <w:color w:val="000000"/>
          <w:kern w:val="0"/>
          <w:sz w:val="24"/>
          <w:szCs w:val="24"/>
          <w:lang w:val="id-ID"/>
          <w14:ligatures w14:val="none"/>
        </w:rPr>
        <w:t xml:space="preserve"> </w:t>
      </w:r>
      <w:r w:rsidRPr="001A5072">
        <w:rPr>
          <w:rFonts w:eastAsia="Times New Roman" w:cstheme="minorHAnsi"/>
          <w:color w:val="000000"/>
          <w:kern w:val="0"/>
          <w:sz w:val="24"/>
          <w:szCs w:val="24"/>
          <w:lang w:val="id-ID"/>
          <w14:ligatures w14:val="none"/>
        </w:rPr>
        <w:t>m</w:t>
      </w:r>
      <w:r w:rsidR="006B3A03" w:rsidRPr="001A5072">
        <w:rPr>
          <w:rFonts w:eastAsia="Times New Roman" w:cstheme="minorHAnsi"/>
          <w:color w:val="000000"/>
          <w:kern w:val="0"/>
          <w:sz w:val="24"/>
          <w:szCs w:val="24"/>
          <w:lang w:val="id-ID"/>
          <w14:ligatures w14:val="none"/>
        </w:rPr>
        <w:t xml:space="preserve">eski </w:t>
      </w:r>
      <w:r w:rsidR="00BC361A" w:rsidRPr="001A5072">
        <w:rPr>
          <w:rFonts w:eastAsia="Times New Roman" w:cstheme="minorHAnsi"/>
          <w:color w:val="000000"/>
          <w:kern w:val="0"/>
          <w:sz w:val="24"/>
          <w:szCs w:val="24"/>
          <w:lang w:val="id-ID"/>
          <w14:ligatures w14:val="none"/>
        </w:rPr>
        <w:t xml:space="preserve"> </w:t>
      </w:r>
      <w:r w:rsidR="00B675EA" w:rsidRPr="001A5072">
        <w:rPr>
          <w:rFonts w:eastAsia="Times New Roman" w:cstheme="minorHAnsi"/>
          <w:color w:val="000000"/>
          <w:kern w:val="0"/>
          <w:sz w:val="24"/>
          <w:szCs w:val="24"/>
          <w:lang w:val="id-ID"/>
          <w14:ligatures w14:val="none"/>
        </w:rPr>
        <w:t xml:space="preserve">247 kabupaten/kota </w:t>
      </w:r>
      <w:r w:rsidR="00C03C33" w:rsidRPr="001A5072">
        <w:rPr>
          <w:rFonts w:eastAsia="Times New Roman" w:cstheme="minorHAnsi"/>
          <w:color w:val="000000"/>
          <w:kern w:val="0"/>
          <w:sz w:val="24"/>
          <w:szCs w:val="24"/>
          <w:lang w:val="id-ID"/>
          <w14:ligatures w14:val="none"/>
        </w:rPr>
        <w:t xml:space="preserve">di Indonesia </w:t>
      </w:r>
      <w:r w:rsidR="00B675EA" w:rsidRPr="001A5072">
        <w:rPr>
          <w:rFonts w:eastAsia="Times New Roman" w:cstheme="minorHAnsi"/>
          <w:color w:val="000000"/>
          <w:kern w:val="0"/>
          <w:sz w:val="24"/>
          <w:szCs w:val="24"/>
          <w:lang w:val="id-ID"/>
          <w14:ligatures w14:val="none"/>
        </w:rPr>
        <w:t>memiliki Indeks Sosial di atas rata-rata nasional</w:t>
      </w:r>
      <w:r w:rsidR="006B3A03" w:rsidRPr="001A5072">
        <w:rPr>
          <w:rFonts w:eastAsia="Times New Roman" w:cstheme="minorHAnsi"/>
          <w:color w:val="000000"/>
          <w:kern w:val="0"/>
          <w:sz w:val="24"/>
          <w:szCs w:val="24"/>
          <w:lang w:val="id-ID"/>
          <w14:ligatures w14:val="none"/>
        </w:rPr>
        <w:t xml:space="preserve">, </w:t>
      </w:r>
      <w:r w:rsidR="00B675EA" w:rsidRPr="001A5072">
        <w:rPr>
          <w:rFonts w:eastAsia="Times New Roman" w:cstheme="minorHAnsi"/>
          <w:color w:val="000000"/>
          <w:kern w:val="0"/>
          <w:sz w:val="24"/>
          <w:szCs w:val="24"/>
          <w:lang w:val="id-ID"/>
          <w14:ligatures w14:val="none"/>
        </w:rPr>
        <w:t xml:space="preserve">tapi </w:t>
      </w:r>
      <w:r w:rsidR="006B3A03" w:rsidRPr="001A5072">
        <w:rPr>
          <w:rFonts w:eastAsia="Times New Roman" w:cstheme="minorHAnsi"/>
          <w:color w:val="000000"/>
          <w:kern w:val="0"/>
          <w:sz w:val="24"/>
          <w:szCs w:val="24"/>
          <w:lang w:val="id-ID"/>
          <w14:ligatures w14:val="none"/>
        </w:rPr>
        <w:t>tantangan besar masih membayangi akibat jurang ketimpangan antardaerah. Tercatat masih ada 267 kabupaten/kota dengan Indeks Sosial di bawah rata-rata nasional, menandakan kemajuan kualitas hidup masih terkonsentrasi di pusat-pusat layanan regional tertentu saja.</w:t>
      </w:r>
    </w:p>
    <w:p w14:paraId="218D557E" w14:textId="1C30A994" w:rsidR="006B3A03" w:rsidRPr="001A5072" w:rsidRDefault="006B3A03" w:rsidP="001867EF">
      <w:pPr>
        <w:spacing w:before="240" w:after="240" w:line="240" w:lineRule="auto"/>
        <w:jc w:val="both"/>
        <w:rPr>
          <w:rFonts w:eastAsia="Times New Roman" w:cstheme="minorHAnsi"/>
          <w:color w:val="000000"/>
          <w:kern w:val="0"/>
          <w:sz w:val="24"/>
          <w:szCs w:val="24"/>
          <w:lang w:val="id-ID"/>
          <w14:ligatures w14:val="none"/>
        </w:rPr>
      </w:pPr>
      <w:r w:rsidRPr="001A5072">
        <w:rPr>
          <w:rFonts w:eastAsia="Times New Roman" w:cstheme="minorHAnsi"/>
          <w:color w:val="000000"/>
          <w:kern w:val="0"/>
          <w:sz w:val="24"/>
          <w:szCs w:val="24"/>
          <w:lang w:val="id-ID"/>
          <w14:ligatures w14:val="none"/>
        </w:rPr>
        <w:t>"</w:t>
      </w:r>
      <w:r w:rsidR="008E4D7B" w:rsidRPr="001A5072">
        <w:rPr>
          <w:rFonts w:eastAsia="Times New Roman" w:cstheme="minorHAnsi"/>
          <w:color w:val="000000"/>
          <w:kern w:val="0"/>
          <w:sz w:val="24"/>
          <w:szCs w:val="24"/>
          <w:lang w:val="id-ID"/>
          <w14:ligatures w14:val="none"/>
        </w:rPr>
        <w:t xml:space="preserve">Pembangunan inklusif </w:t>
      </w:r>
      <w:r w:rsidR="00697AF4" w:rsidRPr="001A5072">
        <w:rPr>
          <w:rFonts w:eastAsia="Times New Roman" w:cstheme="minorHAnsi"/>
          <w:color w:val="000000"/>
          <w:kern w:val="0"/>
          <w:sz w:val="24"/>
          <w:szCs w:val="24"/>
          <w:lang w:val="id-ID"/>
          <w14:ligatures w14:val="none"/>
        </w:rPr>
        <w:t>sangat</w:t>
      </w:r>
      <w:r w:rsidR="008E4D7B" w:rsidRPr="001A5072">
        <w:rPr>
          <w:rFonts w:eastAsia="Times New Roman" w:cstheme="minorHAnsi"/>
          <w:color w:val="000000"/>
          <w:kern w:val="0"/>
          <w:sz w:val="24"/>
          <w:szCs w:val="24"/>
          <w:lang w:val="id-ID"/>
          <w14:ligatures w14:val="none"/>
        </w:rPr>
        <w:t xml:space="preserve"> penting</w:t>
      </w:r>
      <w:r w:rsidR="00697AF4" w:rsidRPr="001A5072">
        <w:rPr>
          <w:rFonts w:eastAsia="Times New Roman" w:cstheme="minorHAnsi"/>
          <w:color w:val="000000"/>
          <w:kern w:val="0"/>
          <w:sz w:val="24"/>
          <w:szCs w:val="24"/>
          <w:lang w:val="id-ID"/>
          <w14:ligatures w14:val="none"/>
        </w:rPr>
        <w:t>, s</w:t>
      </w:r>
      <w:r w:rsidRPr="001A5072">
        <w:rPr>
          <w:rFonts w:eastAsia="Times New Roman" w:cstheme="minorHAnsi"/>
          <w:color w:val="000000"/>
          <w:kern w:val="0"/>
          <w:sz w:val="24"/>
          <w:szCs w:val="24"/>
          <w:lang w:val="id-ID"/>
          <w14:ligatures w14:val="none"/>
        </w:rPr>
        <w:t xml:space="preserve">etiap daerah </w:t>
      </w:r>
      <w:r w:rsidR="005C3BAD" w:rsidRPr="001A5072">
        <w:rPr>
          <w:rFonts w:eastAsia="Times New Roman" w:cstheme="minorHAnsi"/>
          <w:color w:val="000000"/>
          <w:kern w:val="0"/>
          <w:sz w:val="24"/>
          <w:szCs w:val="24"/>
          <w:lang w:val="id-ID"/>
          <w14:ligatures w14:val="none"/>
        </w:rPr>
        <w:t xml:space="preserve">harus </w:t>
      </w:r>
      <w:r w:rsidRPr="001A5072">
        <w:rPr>
          <w:rFonts w:eastAsia="Times New Roman" w:cstheme="minorHAnsi"/>
          <w:color w:val="000000"/>
          <w:kern w:val="0"/>
          <w:sz w:val="24"/>
          <w:szCs w:val="24"/>
          <w:lang w:val="id-ID"/>
          <w14:ligatures w14:val="none"/>
        </w:rPr>
        <w:t>mampu memastikan warganya menjalani hidup bermartabat tanpa terjebak kerentanan ekonomi akut, sehingga ketahanan sosial nasional</w:t>
      </w:r>
      <w:r w:rsidR="00E65EE7" w:rsidRPr="001A5072">
        <w:rPr>
          <w:rFonts w:eastAsia="Times New Roman" w:cstheme="minorHAnsi"/>
          <w:color w:val="000000"/>
          <w:kern w:val="0"/>
          <w:sz w:val="24"/>
          <w:szCs w:val="24"/>
          <w:lang w:val="id-ID"/>
          <w14:ligatures w14:val="none"/>
        </w:rPr>
        <w:t xml:space="preserve"> terbentuk secara</w:t>
      </w:r>
      <w:r w:rsidRPr="001A5072">
        <w:rPr>
          <w:rFonts w:eastAsia="Times New Roman" w:cstheme="minorHAnsi"/>
          <w:color w:val="000000"/>
          <w:kern w:val="0"/>
          <w:sz w:val="24"/>
          <w:szCs w:val="24"/>
          <w:lang w:val="id-ID"/>
          <w14:ligatures w14:val="none"/>
        </w:rPr>
        <w:t xml:space="preserve"> </w:t>
      </w:r>
      <w:r w:rsidR="00921EFF" w:rsidRPr="001A5072">
        <w:rPr>
          <w:rFonts w:eastAsia="Times New Roman" w:cstheme="minorHAnsi"/>
          <w:color w:val="000000"/>
          <w:kern w:val="0"/>
          <w:sz w:val="24"/>
          <w:szCs w:val="24"/>
          <w:lang w:val="id-ID"/>
          <w14:ligatures w14:val="none"/>
        </w:rPr>
        <w:t>lebih</w:t>
      </w:r>
      <w:r w:rsidRPr="001A5072">
        <w:rPr>
          <w:rFonts w:eastAsia="Times New Roman" w:cstheme="minorHAnsi"/>
          <w:color w:val="000000"/>
          <w:kern w:val="0"/>
          <w:sz w:val="24"/>
          <w:szCs w:val="24"/>
          <w:lang w:val="id-ID"/>
          <w14:ligatures w14:val="none"/>
        </w:rPr>
        <w:t xml:space="preserve"> merata," tutup</w:t>
      </w:r>
      <w:r w:rsidR="008E4D7B" w:rsidRPr="001A5072">
        <w:rPr>
          <w:rFonts w:eastAsia="Times New Roman" w:cstheme="minorHAnsi"/>
          <w:color w:val="000000"/>
          <w:kern w:val="0"/>
          <w:sz w:val="24"/>
          <w:szCs w:val="24"/>
          <w:lang w:val="id-ID"/>
          <w14:ligatures w14:val="none"/>
        </w:rPr>
        <w:t xml:space="preserve"> </w:t>
      </w:r>
      <w:r w:rsidR="00833205" w:rsidRPr="001A5072">
        <w:rPr>
          <w:rFonts w:eastAsia="Times New Roman" w:cstheme="minorHAnsi"/>
          <w:color w:val="000000"/>
          <w:kern w:val="0"/>
          <w:sz w:val="24"/>
          <w:szCs w:val="24"/>
          <w:lang w:val="id-ID"/>
          <w14:ligatures w14:val="none"/>
        </w:rPr>
        <w:t>Ade Holis</w:t>
      </w:r>
      <w:r w:rsidR="008E4D7B" w:rsidRPr="001A5072">
        <w:rPr>
          <w:rFonts w:eastAsia="Times New Roman" w:cstheme="minorHAnsi"/>
          <w:color w:val="000000"/>
          <w:kern w:val="0"/>
          <w:sz w:val="24"/>
          <w:szCs w:val="24"/>
          <w:lang w:val="id-ID"/>
          <w14:ligatures w14:val="none"/>
        </w:rPr>
        <w:t xml:space="preserve">. </w:t>
      </w:r>
    </w:p>
    <w:p w14:paraId="450ECC6D" w14:textId="340D3820" w:rsidR="006B3A03" w:rsidRPr="001A5072" w:rsidRDefault="006B3A03" w:rsidP="001867EF">
      <w:pPr>
        <w:spacing w:before="240" w:after="240" w:line="240" w:lineRule="auto"/>
        <w:jc w:val="both"/>
        <w:rPr>
          <w:rFonts w:ascii="Arial" w:eastAsia="Times New Roman" w:hAnsi="Arial" w:cs="Arial"/>
          <w:color w:val="000000"/>
          <w:kern w:val="0"/>
          <w:lang w:val="id-ID"/>
          <w14:ligatures w14:val="none"/>
        </w:rPr>
      </w:pPr>
    </w:p>
    <w:p w14:paraId="7A2EF4EB" w14:textId="7676DEA4" w:rsidR="005931ED" w:rsidRPr="001A5072" w:rsidRDefault="005931ED" w:rsidP="001867EF">
      <w:pPr>
        <w:spacing w:before="240" w:after="240" w:line="240" w:lineRule="auto"/>
        <w:jc w:val="both"/>
        <w:rPr>
          <w:rFonts w:ascii="Arial" w:eastAsia="Times New Roman" w:hAnsi="Arial" w:cs="Arial"/>
          <w:color w:val="000000"/>
          <w:kern w:val="0"/>
          <w:lang w:val="id-ID"/>
          <w14:ligatures w14:val="none"/>
        </w:rPr>
      </w:pPr>
    </w:p>
    <w:p w14:paraId="494842C6" w14:textId="74366FE2" w:rsidR="005931ED" w:rsidRPr="001A5072" w:rsidRDefault="005931ED" w:rsidP="001867EF">
      <w:pPr>
        <w:spacing w:before="240" w:after="240" w:line="240" w:lineRule="auto"/>
        <w:jc w:val="both"/>
        <w:rPr>
          <w:rFonts w:ascii="Arial" w:eastAsia="Times New Roman" w:hAnsi="Arial" w:cs="Arial"/>
          <w:color w:val="000000"/>
          <w:kern w:val="0"/>
          <w:lang w:val="id-ID"/>
          <w14:ligatures w14:val="none"/>
        </w:rPr>
      </w:pPr>
    </w:p>
    <w:p w14:paraId="676F15A7" w14:textId="2B9E9EE1" w:rsidR="005931ED" w:rsidRPr="001A5072" w:rsidRDefault="005931ED" w:rsidP="006B3A03">
      <w:pPr>
        <w:spacing w:before="240" w:after="240" w:line="240" w:lineRule="auto"/>
        <w:jc w:val="both"/>
        <w:rPr>
          <w:rFonts w:ascii="Arial" w:eastAsia="Times New Roman" w:hAnsi="Arial" w:cs="Arial"/>
          <w:color w:val="000000"/>
          <w:kern w:val="0"/>
          <w:lang w:val="id-ID"/>
          <w14:ligatures w14:val="none"/>
        </w:rPr>
      </w:pPr>
    </w:p>
    <w:p w14:paraId="1B8F8007" w14:textId="77777777" w:rsidR="00E04E3F" w:rsidRPr="001A5072" w:rsidRDefault="00E04E3F" w:rsidP="006B3A03">
      <w:pPr>
        <w:spacing w:before="240" w:after="240" w:line="240" w:lineRule="auto"/>
        <w:jc w:val="both"/>
        <w:rPr>
          <w:rFonts w:ascii="Arial" w:eastAsia="Times New Roman" w:hAnsi="Arial" w:cs="Arial"/>
          <w:color w:val="000000"/>
          <w:kern w:val="0"/>
          <w:lang w:val="id-ID"/>
          <w14:ligatures w14:val="none"/>
        </w:rPr>
      </w:pPr>
    </w:p>
    <w:p w14:paraId="52835BB8" w14:textId="3D9F87BE" w:rsidR="006B3A03" w:rsidRPr="001A5072" w:rsidRDefault="006B3A03" w:rsidP="006B3A03">
      <w:pPr>
        <w:spacing w:before="240" w:after="240" w:line="240" w:lineRule="auto"/>
        <w:jc w:val="both"/>
        <w:rPr>
          <w:rFonts w:eastAsia="Times New Roman" w:cstheme="minorHAnsi"/>
          <w:b/>
          <w:bCs/>
          <w:color w:val="000000"/>
          <w:kern w:val="0"/>
          <w:sz w:val="24"/>
          <w:szCs w:val="24"/>
          <w:lang w:val="id-ID"/>
          <w14:ligatures w14:val="none"/>
        </w:rPr>
      </w:pPr>
      <w:r w:rsidRPr="001A5072">
        <w:rPr>
          <w:rFonts w:eastAsia="Times New Roman" w:cstheme="minorHAnsi"/>
          <w:b/>
          <w:bCs/>
          <w:color w:val="000000"/>
          <w:kern w:val="0"/>
          <w:sz w:val="24"/>
          <w:szCs w:val="24"/>
          <w:lang w:val="id-ID"/>
          <w14:ligatures w14:val="none"/>
        </w:rPr>
        <w:lastRenderedPageBreak/>
        <w:t xml:space="preserve">LAMPIRAN: </w:t>
      </w:r>
    </w:p>
    <w:p w14:paraId="27172187" w14:textId="77777777" w:rsidR="006B3A03" w:rsidRPr="001A5072" w:rsidRDefault="006B3A03" w:rsidP="006B3A03">
      <w:pPr>
        <w:pStyle w:val="NormalWeb"/>
        <w:spacing w:before="0" w:beforeAutospacing="0" w:after="0" w:afterAutospacing="0"/>
        <w:jc w:val="center"/>
        <w:rPr>
          <w:rFonts w:asciiTheme="minorHAnsi" w:hAnsiTheme="minorHAnsi" w:cstheme="minorHAnsi"/>
          <w:b/>
          <w:bCs/>
          <w:lang w:val="id-ID"/>
        </w:rPr>
      </w:pPr>
      <w:r w:rsidRPr="001A5072">
        <w:rPr>
          <w:rFonts w:asciiTheme="minorHAnsi" w:hAnsiTheme="minorHAnsi" w:cstheme="minorHAnsi"/>
          <w:b/>
          <w:bCs/>
          <w:lang w:val="id-ID"/>
        </w:rPr>
        <w:t xml:space="preserve">Kabupaten/Kota dengan Indeks Sosial Tertinggi </w:t>
      </w:r>
    </w:p>
    <w:p w14:paraId="40E21198" w14:textId="60AAD68E" w:rsidR="006B3A03" w:rsidRPr="001A5072" w:rsidRDefault="006B3A03" w:rsidP="006B3A03">
      <w:pPr>
        <w:pStyle w:val="NormalWeb"/>
        <w:spacing w:before="0" w:beforeAutospacing="0" w:after="0" w:afterAutospacing="0"/>
        <w:jc w:val="center"/>
        <w:rPr>
          <w:rFonts w:asciiTheme="minorHAnsi" w:hAnsiTheme="minorHAnsi" w:cstheme="minorHAnsi"/>
          <w:b/>
          <w:bCs/>
          <w:lang w:val="id-ID"/>
        </w:rPr>
      </w:pPr>
      <w:r w:rsidRPr="001A5072">
        <w:rPr>
          <w:rFonts w:asciiTheme="minorHAnsi" w:hAnsiTheme="minorHAnsi" w:cstheme="minorHAnsi"/>
          <w:b/>
          <w:bCs/>
          <w:lang w:val="id-ID"/>
        </w:rPr>
        <w:t xml:space="preserve">Berdasarkan Kelompok Wilayah </w:t>
      </w:r>
    </w:p>
    <w:p w14:paraId="14F5FCE0" w14:textId="77777777" w:rsidR="006B3A03" w:rsidRPr="001A5072" w:rsidRDefault="006B3A03" w:rsidP="006B3A03">
      <w:pPr>
        <w:pStyle w:val="NormalWeb"/>
        <w:spacing w:before="0" w:beforeAutospacing="0" w:after="0" w:afterAutospacing="0"/>
        <w:jc w:val="center"/>
        <w:rPr>
          <w:rFonts w:asciiTheme="minorHAnsi" w:hAnsiTheme="minorHAnsi" w:cstheme="minorHAnsi"/>
          <w:b/>
          <w:bCs/>
          <w:lang w:val="id-ID"/>
        </w:rPr>
      </w:pPr>
    </w:p>
    <w:tbl>
      <w:tblPr>
        <w:tblStyle w:val="TableGrid"/>
        <w:tblW w:w="0" w:type="auto"/>
        <w:jc w:val="center"/>
        <w:tblLook w:val="04A0" w:firstRow="1" w:lastRow="0" w:firstColumn="1" w:lastColumn="0" w:noHBand="0" w:noVBand="1"/>
      </w:tblPr>
      <w:tblGrid>
        <w:gridCol w:w="743"/>
        <w:gridCol w:w="2998"/>
        <w:gridCol w:w="2350"/>
        <w:gridCol w:w="48"/>
      </w:tblGrid>
      <w:tr w:rsidR="006B3A03" w:rsidRPr="001A5072" w14:paraId="12B0674C" w14:textId="77777777" w:rsidTr="006B3A03">
        <w:trPr>
          <w:trHeight w:val="349"/>
          <w:jc w:val="center"/>
        </w:trPr>
        <w:tc>
          <w:tcPr>
            <w:tcW w:w="743" w:type="dxa"/>
            <w:vMerge w:val="restart"/>
            <w:vAlign w:val="center"/>
          </w:tcPr>
          <w:p w14:paraId="3BC9D8EC" w14:textId="77777777" w:rsidR="006B3A03" w:rsidRPr="001A5072" w:rsidRDefault="006B3A03" w:rsidP="00C52FED">
            <w:pPr>
              <w:pStyle w:val="NormalWeb"/>
              <w:spacing w:before="0" w:beforeAutospacing="0" w:after="0"/>
              <w:jc w:val="center"/>
              <w:rPr>
                <w:rFonts w:asciiTheme="minorHAnsi" w:hAnsiTheme="minorHAnsi" w:cstheme="minorHAnsi"/>
                <w:b/>
                <w:bCs/>
                <w:lang w:val="id-ID"/>
              </w:rPr>
            </w:pPr>
            <w:r w:rsidRPr="001A5072">
              <w:rPr>
                <w:rFonts w:asciiTheme="minorHAnsi" w:hAnsiTheme="minorHAnsi" w:cstheme="minorHAnsi"/>
                <w:b/>
                <w:bCs/>
                <w:lang w:val="id-ID"/>
              </w:rPr>
              <w:t>No.</w:t>
            </w:r>
          </w:p>
        </w:tc>
        <w:tc>
          <w:tcPr>
            <w:tcW w:w="2998" w:type="dxa"/>
            <w:vMerge w:val="restart"/>
            <w:noWrap/>
            <w:vAlign w:val="center"/>
            <w:hideMark/>
          </w:tcPr>
          <w:p w14:paraId="4993B45E" w14:textId="77777777" w:rsidR="006B3A03" w:rsidRPr="001A5072" w:rsidRDefault="006B3A03" w:rsidP="00C52FED">
            <w:pPr>
              <w:pStyle w:val="NormalWeb"/>
              <w:spacing w:before="0" w:beforeAutospacing="0" w:after="0"/>
              <w:jc w:val="center"/>
              <w:rPr>
                <w:rFonts w:asciiTheme="minorHAnsi" w:hAnsiTheme="minorHAnsi" w:cstheme="minorHAnsi"/>
                <w:b/>
                <w:bCs/>
                <w:lang w:val="id-ID"/>
              </w:rPr>
            </w:pPr>
            <w:r w:rsidRPr="001A5072">
              <w:rPr>
                <w:rFonts w:asciiTheme="minorHAnsi" w:hAnsiTheme="minorHAnsi" w:cstheme="minorHAnsi"/>
                <w:b/>
                <w:bCs/>
                <w:lang w:val="id-ID"/>
              </w:rPr>
              <w:t>Wilayah</w:t>
            </w:r>
          </w:p>
        </w:tc>
        <w:tc>
          <w:tcPr>
            <w:tcW w:w="2398" w:type="dxa"/>
            <w:gridSpan w:val="2"/>
            <w:noWrap/>
            <w:vAlign w:val="center"/>
            <w:hideMark/>
          </w:tcPr>
          <w:p w14:paraId="427B63CC" w14:textId="77777777" w:rsidR="006B3A03" w:rsidRPr="001A5072" w:rsidRDefault="006B3A03" w:rsidP="00C52FED">
            <w:pPr>
              <w:pStyle w:val="NormalWeb"/>
              <w:spacing w:before="0" w:beforeAutospacing="0" w:after="0"/>
              <w:jc w:val="center"/>
              <w:rPr>
                <w:rFonts w:asciiTheme="minorHAnsi" w:hAnsiTheme="minorHAnsi" w:cstheme="minorHAnsi"/>
                <w:b/>
                <w:bCs/>
                <w:lang w:val="id-ID"/>
              </w:rPr>
            </w:pPr>
            <w:r w:rsidRPr="001A5072">
              <w:rPr>
                <w:rFonts w:asciiTheme="minorHAnsi" w:hAnsiTheme="minorHAnsi" w:cstheme="minorHAnsi"/>
                <w:b/>
                <w:bCs/>
                <w:lang w:val="id-ID"/>
              </w:rPr>
              <w:t>Indeks Sosial</w:t>
            </w:r>
          </w:p>
        </w:tc>
      </w:tr>
      <w:tr w:rsidR="00E7206E" w:rsidRPr="001A5072" w14:paraId="0EA72C8C" w14:textId="77777777" w:rsidTr="00E7206E">
        <w:trPr>
          <w:gridAfter w:val="1"/>
          <w:wAfter w:w="48" w:type="dxa"/>
          <w:trHeight w:val="349"/>
          <w:jc w:val="center"/>
        </w:trPr>
        <w:tc>
          <w:tcPr>
            <w:tcW w:w="743" w:type="dxa"/>
            <w:vMerge/>
            <w:vAlign w:val="center"/>
          </w:tcPr>
          <w:p w14:paraId="14778E74" w14:textId="77777777" w:rsidR="00E7206E" w:rsidRPr="001A5072" w:rsidRDefault="00E7206E" w:rsidP="00C52FED">
            <w:pPr>
              <w:pStyle w:val="NormalWeb"/>
              <w:spacing w:before="0" w:beforeAutospacing="0" w:after="0"/>
              <w:jc w:val="center"/>
              <w:rPr>
                <w:rFonts w:asciiTheme="minorHAnsi" w:hAnsiTheme="minorHAnsi" w:cstheme="minorHAnsi"/>
                <w:b/>
                <w:bCs/>
                <w:lang w:val="id-ID"/>
              </w:rPr>
            </w:pPr>
          </w:p>
        </w:tc>
        <w:tc>
          <w:tcPr>
            <w:tcW w:w="2998" w:type="dxa"/>
            <w:vMerge/>
            <w:vAlign w:val="center"/>
            <w:hideMark/>
          </w:tcPr>
          <w:p w14:paraId="49A0A253" w14:textId="77777777" w:rsidR="00E7206E" w:rsidRPr="001A5072" w:rsidRDefault="00E7206E" w:rsidP="00C52FED">
            <w:pPr>
              <w:pStyle w:val="NormalWeb"/>
              <w:spacing w:before="0" w:beforeAutospacing="0" w:after="0"/>
              <w:jc w:val="center"/>
              <w:rPr>
                <w:rFonts w:asciiTheme="minorHAnsi" w:hAnsiTheme="minorHAnsi" w:cstheme="minorHAnsi"/>
                <w:b/>
                <w:bCs/>
                <w:lang w:val="id-ID"/>
              </w:rPr>
            </w:pPr>
          </w:p>
        </w:tc>
        <w:tc>
          <w:tcPr>
            <w:tcW w:w="2350" w:type="dxa"/>
            <w:noWrap/>
            <w:vAlign w:val="center"/>
            <w:hideMark/>
          </w:tcPr>
          <w:p w14:paraId="7A75A77C" w14:textId="77777777" w:rsidR="00E7206E" w:rsidRPr="001A5072" w:rsidRDefault="00E7206E" w:rsidP="00C52FED">
            <w:pPr>
              <w:pStyle w:val="NormalWeb"/>
              <w:spacing w:before="0" w:beforeAutospacing="0" w:after="0"/>
              <w:jc w:val="center"/>
              <w:rPr>
                <w:rFonts w:asciiTheme="minorHAnsi" w:hAnsiTheme="minorHAnsi" w:cstheme="minorHAnsi"/>
                <w:b/>
                <w:bCs/>
                <w:lang w:val="id-ID"/>
              </w:rPr>
            </w:pPr>
            <w:r w:rsidRPr="001A5072">
              <w:rPr>
                <w:rFonts w:asciiTheme="minorHAnsi" w:hAnsiTheme="minorHAnsi" w:cstheme="minorHAnsi"/>
                <w:b/>
                <w:bCs/>
                <w:lang w:val="id-ID"/>
              </w:rPr>
              <w:t>2024</w:t>
            </w:r>
          </w:p>
        </w:tc>
      </w:tr>
      <w:tr w:rsidR="00E7206E" w:rsidRPr="001A5072" w14:paraId="4BD2B3DC" w14:textId="77777777" w:rsidTr="00E7206E">
        <w:trPr>
          <w:gridAfter w:val="1"/>
          <w:wAfter w:w="48" w:type="dxa"/>
          <w:trHeight w:val="349"/>
          <w:jc w:val="center"/>
        </w:trPr>
        <w:tc>
          <w:tcPr>
            <w:tcW w:w="743" w:type="dxa"/>
          </w:tcPr>
          <w:p w14:paraId="3E64AAEF" w14:textId="77777777" w:rsidR="00E7206E" w:rsidRPr="001A5072" w:rsidRDefault="00E7206E" w:rsidP="00C52FED">
            <w:pPr>
              <w:pStyle w:val="NormalWeb"/>
              <w:spacing w:before="0" w:beforeAutospacing="0" w:after="0"/>
              <w:jc w:val="both"/>
              <w:rPr>
                <w:rFonts w:asciiTheme="minorHAnsi" w:hAnsiTheme="minorHAnsi" w:cstheme="minorHAnsi"/>
                <w:lang w:val="id-ID"/>
              </w:rPr>
            </w:pPr>
            <w:r w:rsidRPr="001A5072">
              <w:rPr>
                <w:rFonts w:asciiTheme="minorHAnsi" w:hAnsiTheme="minorHAnsi" w:cstheme="minorHAnsi"/>
                <w:lang w:val="id-ID"/>
              </w:rPr>
              <w:t>1</w:t>
            </w:r>
          </w:p>
        </w:tc>
        <w:tc>
          <w:tcPr>
            <w:tcW w:w="2998" w:type="dxa"/>
            <w:noWrap/>
            <w:hideMark/>
          </w:tcPr>
          <w:p w14:paraId="36FE75E1"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Sumatra</w:t>
            </w:r>
          </w:p>
        </w:tc>
        <w:tc>
          <w:tcPr>
            <w:tcW w:w="2350" w:type="dxa"/>
            <w:noWrap/>
            <w:hideMark/>
          </w:tcPr>
          <w:p w14:paraId="3A7C40E7"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64,81</w:t>
            </w:r>
          </w:p>
        </w:tc>
      </w:tr>
      <w:tr w:rsidR="00E7206E" w:rsidRPr="001A5072" w14:paraId="2FC23E3C" w14:textId="77777777" w:rsidTr="00E7206E">
        <w:trPr>
          <w:gridAfter w:val="1"/>
          <w:wAfter w:w="48" w:type="dxa"/>
          <w:trHeight w:val="349"/>
          <w:jc w:val="center"/>
        </w:trPr>
        <w:tc>
          <w:tcPr>
            <w:tcW w:w="743" w:type="dxa"/>
          </w:tcPr>
          <w:p w14:paraId="6D4AE5DF" w14:textId="77777777" w:rsidR="00E7206E" w:rsidRPr="001A5072" w:rsidRDefault="00E7206E" w:rsidP="00C52FED">
            <w:pPr>
              <w:pStyle w:val="NormalWeb"/>
              <w:spacing w:before="0" w:beforeAutospacing="0" w:after="0"/>
              <w:ind w:left="309"/>
              <w:jc w:val="both"/>
              <w:rPr>
                <w:rFonts w:asciiTheme="minorHAnsi" w:hAnsiTheme="minorHAnsi" w:cstheme="minorHAnsi"/>
                <w:lang w:val="id-ID"/>
              </w:rPr>
            </w:pPr>
          </w:p>
        </w:tc>
        <w:tc>
          <w:tcPr>
            <w:tcW w:w="2998" w:type="dxa"/>
            <w:shd w:val="clear" w:color="auto" w:fill="FFF2CC" w:themeFill="accent4" w:themeFillTint="33"/>
            <w:noWrap/>
            <w:hideMark/>
          </w:tcPr>
          <w:p w14:paraId="6D618BE1" w14:textId="77777777" w:rsidR="00E7206E" w:rsidRPr="001A5072" w:rsidRDefault="00E7206E" w:rsidP="00C52FED">
            <w:pPr>
              <w:pStyle w:val="NormalWeb"/>
              <w:spacing w:before="0" w:beforeAutospacing="0" w:after="0"/>
              <w:ind w:left="309"/>
              <w:jc w:val="both"/>
              <w:rPr>
                <w:rFonts w:asciiTheme="minorHAnsi" w:hAnsiTheme="minorHAnsi" w:cstheme="minorHAnsi"/>
                <w:lang w:val="id-ID"/>
              </w:rPr>
            </w:pPr>
            <w:r w:rsidRPr="001A5072">
              <w:rPr>
                <w:rFonts w:asciiTheme="minorHAnsi" w:hAnsiTheme="minorHAnsi" w:cstheme="minorHAnsi"/>
                <w:lang w:val="id-ID"/>
              </w:rPr>
              <w:t>Kota Banda Aceh</w:t>
            </w:r>
          </w:p>
        </w:tc>
        <w:tc>
          <w:tcPr>
            <w:tcW w:w="2350" w:type="dxa"/>
            <w:shd w:val="clear" w:color="auto" w:fill="FFF2CC" w:themeFill="accent4" w:themeFillTint="33"/>
            <w:noWrap/>
            <w:hideMark/>
          </w:tcPr>
          <w:p w14:paraId="7FE282D6"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87,10</w:t>
            </w:r>
          </w:p>
        </w:tc>
      </w:tr>
      <w:tr w:rsidR="00E7206E" w:rsidRPr="001A5072" w14:paraId="1364282B" w14:textId="77777777" w:rsidTr="00E7206E">
        <w:trPr>
          <w:gridAfter w:val="1"/>
          <w:wAfter w:w="48" w:type="dxa"/>
          <w:trHeight w:val="349"/>
          <w:jc w:val="center"/>
        </w:trPr>
        <w:tc>
          <w:tcPr>
            <w:tcW w:w="743" w:type="dxa"/>
          </w:tcPr>
          <w:p w14:paraId="49DA4C41" w14:textId="77777777" w:rsidR="00E7206E" w:rsidRPr="001A5072" w:rsidRDefault="00E7206E" w:rsidP="00C52FED">
            <w:pPr>
              <w:pStyle w:val="NormalWeb"/>
              <w:spacing w:before="0" w:beforeAutospacing="0" w:after="0"/>
              <w:jc w:val="both"/>
              <w:rPr>
                <w:rFonts w:asciiTheme="minorHAnsi" w:hAnsiTheme="minorHAnsi" w:cstheme="minorHAnsi"/>
                <w:lang w:val="id-ID"/>
              </w:rPr>
            </w:pPr>
            <w:r w:rsidRPr="001A5072">
              <w:rPr>
                <w:rFonts w:asciiTheme="minorHAnsi" w:hAnsiTheme="minorHAnsi" w:cstheme="minorHAnsi"/>
                <w:lang w:val="id-ID"/>
              </w:rPr>
              <w:t>2</w:t>
            </w:r>
          </w:p>
        </w:tc>
        <w:tc>
          <w:tcPr>
            <w:tcW w:w="2998" w:type="dxa"/>
            <w:noWrap/>
            <w:hideMark/>
          </w:tcPr>
          <w:p w14:paraId="56AC25E4"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Jawa &amp; Bali</w:t>
            </w:r>
          </w:p>
        </w:tc>
        <w:tc>
          <w:tcPr>
            <w:tcW w:w="2350" w:type="dxa"/>
            <w:noWrap/>
            <w:hideMark/>
          </w:tcPr>
          <w:p w14:paraId="34C8B8BE"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69,58</w:t>
            </w:r>
          </w:p>
        </w:tc>
      </w:tr>
      <w:tr w:rsidR="00E7206E" w:rsidRPr="001A5072" w14:paraId="716686F8" w14:textId="77777777" w:rsidTr="00E7206E">
        <w:trPr>
          <w:gridAfter w:val="1"/>
          <w:wAfter w:w="48" w:type="dxa"/>
          <w:trHeight w:val="349"/>
          <w:jc w:val="center"/>
        </w:trPr>
        <w:tc>
          <w:tcPr>
            <w:tcW w:w="743" w:type="dxa"/>
          </w:tcPr>
          <w:p w14:paraId="0465B69E" w14:textId="77777777" w:rsidR="00E7206E" w:rsidRPr="001A5072" w:rsidRDefault="00E7206E" w:rsidP="00C52FED">
            <w:pPr>
              <w:pStyle w:val="NormalWeb"/>
              <w:spacing w:before="0" w:beforeAutospacing="0" w:after="0"/>
              <w:jc w:val="both"/>
              <w:rPr>
                <w:rFonts w:asciiTheme="minorHAnsi" w:hAnsiTheme="minorHAnsi" w:cstheme="minorHAnsi"/>
                <w:lang w:val="id-ID"/>
              </w:rPr>
            </w:pPr>
          </w:p>
        </w:tc>
        <w:tc>
          <w:tcPr>
            <w:tcW w:w="2998" w:type="dxa"/>
            <w:shd w:val="clear" w:color="auto" w:fill="FFD966" w:themeFill="accent4" w:themeFillTint="99"/>
            <w:noWrap/>
            <w:hideMark/>
          </w:tcPr>
          <w:p w14:paraId="4D1B7954" w14:textId="77777777" w:rsidR="00E7206E" w:rsidRPr="001A5072" w:rsidRDefault="00E7206E" w:rsidP="00C52FED">
            <w:pPr>
              <w:pStyle w:val="NormalWeb"/>
              <w:spacing w:before="0" w:beforeAutospacing="0" w:after="0"/>
              <w:ind w:left="314"/>
              <w:jc w:val="both"/>
              <w:rPr>
                <w:rFonts w:asciiTheme="minorHAnsi" w:hAnsiTheme="minorHAnsi" w:cstheme="minorHAnsi"/>
                <w:lang w:val="id-ID"/>
              </w:rPr>
            </w:pPr>
            <w:r w:rsidRPr="001A5072">
              <w:rPr>
                <w:rFonts w:asciiTheme="minorHAnsi" w:hAnsiTheme="minorHAnsi" w:cstheme="minorHAnsi"/>
                <w:lang w:val="id-ID"/>
              </w:rPr>
              <w:t>Kota Denpasar</w:t>
            </w:r>
          </w:p>
        </w:tc>
        <w:tc>
          <w:tcPr>
            <w:tcW w:w="2350" w:type="dxa"/>
            <w:shd w:val="clear" w:color="auto" w:fill="FFD966" w:themeFill="accent4" w:themeFillTint="99"/>
            <w:noWrap/>
            <w:hideMark/>
          </w:tcPr>
          <w:p w14:paraId="55DBEED7"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94,80</w:t>
            </w:r>
          </w:p>
        </w:tc>
      </w:tr>
      <w:tr w:rsidR="00E7206E" w:rsidRPr="001A5072" w14:paraId="53B47276" w14:textId="77777777" w:rsidTr="00E7206E">
        <w:trPr>
          <w:gridAfter w:val="1"/>
          <w:wAfter w:w="48" w:type="dxa"/>
          <w:trHeight w:val="349"/>
          <w:jc w:val="center"/>
        </w:trPr>
        <w:tc>
          <w:tcPr>
            <w:tcW w:w="743" w:type="dxa"/>
          </w:tcPr>
          <w:p w14:paraId="0554C245" w14:textId="77777777" w:rsidR="00E7206E" w:rsidRPr="001A5072" w:rsidRDefault="00E7206E" w:rsidP="00C52FED">
            <w:pPr>
              <w:pStyle w:val="NormalWeb"/>
              <w:spacing w:before="0" w:beforeAutospacing="0" w:after="0"/>
              <w:jc w:val="both"/>
              <w:rPr>
                <w:rFonts w:asciiTheme="minorHAnsi" w:hAnsiTheme="minorHAnsi" w:cstheme="minorHAnsi"/>
                <w:lang w:val="id-ID"/>
              </w:rPr>
            </w:pPr>
            <w:r w:rsidRPr="001A5072">
              <w:rPr>
                <w:rFonts w:asciiTheme="minorHAnsi" w:hAnsiTheme="minorHAnsi" w:cstheme="minorHAnsi"/>
                <w:lang w:val="id-ID"/>
              </w:rPr>
              <w:t>3</w:t>
            </w:r>
          </w:p>
        </w:tc>
        <w:tc>
          <w:tcPr>
            <w:tcW w:w="2998" w:type="dxa"/>
            <w:noWrap/>
            <w:hideMark/>
          </w:tcPr>
          <w:p w14:paraId="1FAD9361"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Nusa Tenggara &amp; Maluku</w:t>
            </w:r>
          </w:p>
        </w:tc>
        <w:tc>
          <w:tcPr>
            <w:tcW w:w="2350" w:type="dxa"/>
            <w:noWrap/>
            <w:hideMark/>
          </w:tcPr>
          <w:p w14:paraId="3517235D"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59,32</w:t>
            </w:r>
          </w:p>
        </w:tc>
      </w:tr>
      <w:tr w:rsidR="00E7206E" w:rsidRPr="001A5072" w14:paraId="033003B0" w14:textId="77777777" w:rsidTr="00E7206E">
        <w:trPr>
          <w:gridAfter w:val="1"/>
          <w:wAfter w:w="48" w:type="dxa"/>
          <w:trHeight w:val="349"/>
          <w:jc w:val="center"/>
        </w:trPr>
        <w:tc>
          <w:tcPr>
            <w:tcW w:w="743" w:type="dxa"/>
          </w:tcPr>
          <w:p w14:paraId="4C98043D" w14:textId="77777777" w:rsidR="00E7206E" w:rsidRPr="001A5072" w:rsidRDefault="00E7206E" w:rsidP="00C52FED">
            <w:pPr>
              <w:pStyle w:val="NormalWeb"/>
              <w:spacing w:before="0" w:beforeAutospacing="0" w:after="0"/>
              <w:jc w:val="both"/>
              <w:rPr>
                <w:rFonts w:asciiTheme="minorHAnsi" w:hAnsiTheme="minorHAnsi" w:cstheme="minorHAnsi"/>
                <w:lang w:val="id-ID"/>
              </w:rPr>
            </w:pPr>
          </w:p>
        </w:tc>
        <w:tc>
          <w:tcPr>
            <w:tcW w:w="2998" w:type="dxa"/>
            <w:shd w:val="clear" w:color="auto" w:fill="FFF2CC" w:themeFill="accent4" w:themeFillTint="33"/>
            <w:noWrap/>
            <w:hideMark/>
          </w:tcPr>
          <w:p w14:paraId="7EE77D29" w14:textId="77777777" w:rsidR="00E7206E" w:rsidRPr="001A5072" w:rsidRDefault="00E7206E" w:rsidP="00C52FED">
            <w:pPr>
              <w:pStyle w:val="NormalWeb"/>
              <w:spacing w:before="0" w:beforeAutospacing="0" w:after="0"/>
              <w:ind w:left="314"/>
              <w:jc w:val="both"/>
              <w:rPr>
                <w:rFonts w:asciiTheme="minorHAnsi" w:hAnsiTheme="minorHAnsi" w:cstheme="minorHAnsi"/>
                <w:lang w:val="id-ID"/>
              </w:rPr>
            </w:pPr>
            <w:r w:rsidRPr="001A5072">
              <w:rPr>
                <w:rFonts w:asciiTheme="minorHAnsi" w:hAnsiTheme="minorHAnsi" w:cstheme="minorHAnsi"/>
                <w:lang w:val="id-ID"/>
              </w:rPr>
              <w:t>Kota Kupang</w:t>
            </w:r>
          </w:p>
        </w:tc>
        <w:tc>
          <w:tcPr>
            <w:tcW w:w="2350" w:type="dxa"/>
            <w:shd w:val="clear" w:color="auto" w:fill="FFF2CC" w:themeFill="accent4" w:themeFillTint="33"/>
            <w:noWrap/>
            <w:hideMark/>
          </w:tcPr>
          <w:p w14:paraId="15B2B0A9"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85,53</w:t>
            </w:r>
          </w:p>
        </w:tc>
      </w:tr>
      <w:tr w:rsidR="00E7206E" w:rsidRPr="001A5072" w14:paraId="0F66B2A2" w14:textId="77777777" w:rsidTr="00E7206E">
        <w:trPr>
          <w:gridAfter w:val="1"/>
          <w:wAfter w:w="48" w:type="dxa"/>
          <w:trHeight w:val="349"/>
          <w:jc w:val="center"/>
        </w:trPr>
        <w:tc>
          <w:tcPr>
            <w:tcW w:w="743" w:type="dxa"/>
          </w:tcPr>
          <w:p w14:paraId="640A2491" w14:textId="77777777" w:rsidR="00E7206E" w:rsidRPr="001A5072" w:rsidRDefault="00E7206E" w:rsidP="00C52FED">
            <w:pPr>
              <w:pStyle w:val="NormalWeb"/>
              <w:spacing w:before="0" w:beforeAutospacing="0" w:after="0"/>
              <w:jc w:val="both"/>
              <w:rPr>
                <w:rFonts w:asciiTheme="minorHAnsi" w:hAnsiTheme="minorHAnsi" w:cstheme="minorHAnsi"/>
                <w:lang w:val="id-ID"/>
              </w:rPr>
            </w:pPr>
            <w:r w:rsidRPr="001A5072">
              <w:rPr>
                <w:rFonts w:asciiTheme="minorHAnsi" w:hAnsiTheme="minorHAnsi" w:cstheme="minorHAnsi"/>
                <w:lang w:val="id-ID"/>
              </w:rPr>
              <w:t>4</w:t>
            </w:r>
          </w:p>
        </w:tc>
        <w:tc>
          <w:tcPr>
            <w:tcW w:w="2998" w:type="dxa"/>
            <w:noWrap/>
            <w:hideMark/>
          </w:tcPr>
          <w:p w14:paraId="7429C044"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Kalimantan</w:t>
            </w:r>
          </w:p>
        </w:tc>
        <w:tc>
          <w:tcPr>
            <w:tcW w:w="2350" w:type="dxa"/>
            <w:noWrap/>
            <w:hideMark/>
          </w:tcPr>
          <w:p w14:paraId="2B12E84E"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68,65</w:t>
            </w:r>
          </w:p>
        </w:tc>
      </w:tr>
      <w:tr w:rsidR="00E7206E" w:rsidRPr="001A5072" w14:paraId="09E3E525" w14:textId="77777777" w:rsidTr="00E7206E">
        <w:trPr>
          <w:gridAfter w:val="1"/>
          <w:wAfter w:w="48" w:type="dxa"/>
          <w:trHeight w:val="349"/>
          <w:jc w:val="center"/>
        </w:trPr>
        <w:tc>
          <w:tcPr>
            <w:tcW w:w="743" w:type="dxa"/>
          </w:tcPr>
          <w:p w14:paraId="71DFBBF7" w14:textId="77777777" w:rsidR="00E7206E" w:rsidRPr="001A5072" w:rsidRDefault="00E7206E" w:rsidP="00C52FED">
            <w:pPr>
              <w:pStyle w:val="NormalWeb"/>
              <w:spacing w:before="0" w:beforeAutospacing="0" w:after="0"/>
              <w:jc w:val="both"/>
              <w:rPr>
                <w:rFonts w:asciiTheme="minorHAnsi" w:hAnsiTheme="minorHAnsi" w:cstheme="minorHAnsi"/>
                <w:lang w:val="id-ID"/>
              </w:rPr>
            </w:pPr>
          </w:p>
        </w:tc>
        <w:tc>
          <w:tcPr>
            <w:tcW w:w="2998" w:type="dxa"/>
            <w:shd w:val="clear" w:color="auto" w:fill="FFF2CC" w:themeFill="accent4" w:themeFillTint="33"/>
            <w:noWrap/>
            <w:hideMark/>
          </w:tcPr>
          <w:p w14:paraId="2F3AE363" w14:textId="77777777" w:rsidR="00E7206E" w:rsidRPr="001A5072" w:rsidRDefault="00E7206E" w:rsidP="00C52FED">
            <w:pPr>
              <w:pStyle w:val="NormalWeb"/>
              <w:spacing w:before="0" w:beforeAutospacing="0" w:after="0"/>
              <w:ind w:left="314"/>
              <w:jc w:val="both"/>
              <w:rPr>
                <w:rFonts w:asciiTheme="minorHAnsi" w:hAnsiTheme="minorHAnsi" w:cstheme="minorHAnsi"/>
                <w:lang w:val="id-ID"/>
              </w:rPr>
            </w:pPr>
            <w:r w:rsidRPr="001A5072">
              <w:rPr>
                <w:rFonts w:asciiTheme="minorHAnsi" w:hAnsiTheme="minorHAnsi" w:cstheme="minorHAnsi"/>
                <w:lang w:val="id-ID"/>
              </w:rPr>
              <w:t>Kota Samarinda</w:t>
            </w:r>
          </w:p>
        </w:tc>
        <w:tc>
          <w:tcPr>
            <w:tcW w:w="2350" w:type="dxa"/>
            <w:shd w:val="clear" w:color="auto" w:fill="FFF2CC" w:themeFill="accent4" w:themeFillTint="33"/>
            <w:noWrap/>
            <w:hideMark/>
          </w:tcPr>
          <w:p w14:paraId="79B75925"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84,43</w:t>
            </w:r>
          </w:p>
        </w:tc>
      </w:tr>
      <w:tr w:rsidR="00E7206E" w:rsidRPr="001A5072" w14:paraId="6ECC2E7D" w14:textId="77777777" w:rsidTr="00E7206E">
        <w:trPr>
          <w:gridAfter w:val="1"/>
          <w:wAfter w:w="48" w:type="dxa"/>
          <w:trHeight w:val="349"/>
          <w:jc w:val="center"/>
        </w:trPr>
        <w:tc>
          <w:tcPr>
            <w:tcW w:w="743" w:type="dxa"/>
          </w:tcPr>
          <w:p w14:paraId="06DA6F79" w14:textId="77777777" w:rsidR="00E7206E" w:rsidRPr="001A5072" w:rsidRDefault="00E7206E" w:rsidP="00C52FED">
            <w:pPr>
              <w:pStyle w:val="NormalWeb"/>
              <w:spacing w:before="0" w:beforeAutospacing="0" w:after="0"/>
              <w:jc w:val="both"/>
              <w:rPr>
                <w:rFonts w:asciiTheme="minorHAnsi" w:hAnsiTheme="minorHAnsi" w:cstheme="minorHAnsi"/>
                <w:lang w:val="id-ID"/>
              </w:rPr>
            </w:pPr>
            <w:r w:rsidRPr="001A5072">
              <w:rPr>
                <w:rFonts w:asciiTheme="minorHAnsi" w:hAnsiTheme="minorHAnsi" w:cstheme="minorHAnsi"/>
                <w:lang w:val="id-ID"/>
              </w:rPr>
              <w:t>5</w:t>
            </w:r>
          </w:p>
        </w:tc>
        <w:tc>
          <w:tcPr>
            <w:tcW w:w="2998" w:type="dxa"/>
            <w:noWrap/>
            <w:hideMark/>
          </w:tcPr>
          <w:p w14:paraId="04F31CD3"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Sulawesi</w:t>
            </w:r>
          </w:p>
        </w:tc>
        <w:tc>
          <w:tcPr>
            <w:tcW w:w="2350" w:type="dxa"/>
            <w:noWrap/>
            <w:hideMark/>
          </w:tcPr>
          <w:p w14:paraId="4EC821F9"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64,86</w:t>
            </w:r>
          </w:p>
        </w:tc>
      </w:tr>
      <w:tr w:rsidR="00E7206E" w:rsidRPr="001A5072" w14:paraId="0BD1DDCB" w14:textId="77777777" w:rsidTr="00E7206E">
        <w:trPr>
          <w:gridAfter w:val="1"/>
          <w:wAfter w:w="48" w:type="dxa"/>
          <w:trHeight w:val="349"/>
          <w:jc w:val="center"/>
        </w:trPr>
        <w:tc>
          <w:tcPr>
            <w:tcW w:w="743" w:type="dxa"/>
          </w:tcPr>
          <w:p w14:paraId="2A2053DE" w14:textId="77777777" w:rsidR="00E7206E" w:rsidRPr="001A5072" w:rsidRDefault="00E7206E" w:rsidP="00C52FED">
            <w:pPr>
              <w:pStyle w:val="NormalWeb"/>
              <w:spacing w:before="0" w:beforeAutospacing="0" w:after="0"/>
              <w:jc w:val="both"/>
              <w:rPr>
                <w:rFonts w:asciiTheme="minorHAnsi" w:hAnsiTheme="minorHAnsi" w:cstheme="minorHAnsi"/>
                <w:lang w:val="id-ID"/>
              </w:rPr>
            </w:pPr>
          </w:p>
        </w:tc>
        <w:tc>
          <w:tcPr>
            <w:tcW w:w="2998" w:type="dxa"/>
            <w:shd w:val="clear" w:color="auto" w:fill="FFF2CC" w:themeFill="accent4" w:themeFillTint="33"/>
            <w:noWrap/>
            <w:hideMark/>
          </w:tcPr>
          <w:p w14:paraId="353E3933" w14:textId="77777777" w:rsidR="00E7206E" w:rsidRPr="001A5072" w:rsidRDefault="00E7206E" w:rsidP="00C52FED">
            <w:pPr>
              <w:pStyle w:val="NormalWeb"/>
              <w:spacing w:before="0" w:beforeAutospacing="0" w:after="0"/>
              <w:ind w:left="314"/>
              <w:jc w:val="both"/>
              <w:rPr>
                <w:rFonts w:asciiTheme="minorHAnsi" w:hAnsiTheme="minorHAnsi" w:cstheme="minorHAnsi"/>
                <w:lang w:val="id-ID"/>
              </w:rPr>
            </w:pPr>
            <w:r w:rsidRPr="001A5072">
              <w:rPr>
                <w:rFonts w:asciiTheme="minorHAnsi" w:hAnsiTheme="minorHAnsi" w:cstheme="minorHAnsi"/>
                <w:lang w:val="id-ID"/>
              </w:rPr>
              <w:t>Kota Kendari</w:t>
            </w:r>
          </w:p>
        </w:tc>
        <w:tc>
          <w:tcPr>
            <w:tcW w:w="2350" w:type="dxa"/>
            <w:shd w:val="clear" w:color="auto" w:fill="FFF2CC" w:themeFill="accent4" w:themeFillTint="33"/>
            <w:noWrap/>
            <w:hideMark/>
          </w:tcPr>
          <w:p w14:paraId="412D8EF3"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85,27</w:t>
            </w:r>
          </w:p>
        </w:tc>
      </w:tr>
      <w:tr w:rsidR="00E7206E" w:rsidRPr="001A5072" w14:paraId="24CA9911" w14:textId="77777777" w:rsidTr="00E7206E">
        <w:trPr>
          <w:gridAfter w:val="1"/>
          <w:wAfter w:w="48" w:type="dxa"/>
          <w:trHeight w:val="349"/>
          <w:jc w:val="center"/>
        </w:trPr>
        <w:tc>
          <w:tcPr>
            <w:tcW w:w="743" w:type="dxa"/>
          </w:tcPr>
          <w:p w14:paraId="0D365C3D" w14:textId="77777777" w:rsidR="00E7206E" w:rsidRPr="001A5072" w:rsidRDefault="00E7206E" w:rsidP="00C52FED">
            <w:pPr>
              <w:pStyle w:val="NormalWeb"/>
              <w:spacing w:before="0" w:beforeAutospacing="0" w:after="0"/>
              <w:jc w:val="both"/>
              <w:rPr>
                <w:rFonts w:asciiTheme="minorHAnsi" w:hAnsiTheme="minorHAnsi" w:cstheme="minorHAnsi"/>
                <w:lang w:val="id-ID"/>
              </w:rPr>
            </w:pPr>
            <w:r w:rsidRPr="001A5072">
              <w:rPr>
                <w:rFonts w:asciiTheme="minorHAnsi" w:hAnsiTheme="minorHAnsi" w:cstheme="minorHAnsi"/>
                <w:lang w:val="id-ID"/>
              </w:rPr>
              <w:t>6</w:t>
            </w:r>
          </w:p>
        </w:tc>
        <w:tc>
          <w:tcPr>
            <w:tcW w:w="2998" w:type="dxa"/>
            <w:noWrap/>
            <w:hideMark/>
          </w:tcPr>
          <w:p w14:paraId="797D3911"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Papua</w:t>
            </w:r>
          </w:p>
        </w:tc>
        <w:tc>
          <w:tcPr>
            <w:tcW w:w="2350" w:type="dxa"/>
            <w:noWrap/>
            <w:hideMark/>
          </w:tcPr>
          <w:p w14:paraId="1CF2AC59"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50,16</w:t>
            </w:r>
          </w:p>
        </w:tc>
      </w:tr>
      <w:tr w:rsidR="00E7206E" w:rsidRPr="001A5072" w14:paraId="57790498" w14:textId="77777777" w:rsidTr="00E7206E">
        <w:trPr>
          <w:gridAfter w:val="1"/>
          <w:wAfter w:w="48" w:type="dxa"/>
          <w:trHeight w:val="349"/>
          <w:jc w:val="center"/>
        </w:trPr>
        <w:tc>
          <w:tcPr>
            <w:tcW w:w="743" w:type="dxa"/>
          </w:tcPr>
          <w:p w14:paraId="0B5EE6A3" w14:textId="77777777" w:rsidR="00E7206E" w:rsidRPr="001A5072" w:rsidRDefault="00E7206E" w:rsidP="00C52FED">
            <w:pPr>
              <w:pStyle w:val="NormalWeb"/>
              <w:spacing w:before="0" w:beforeAutospacing="0" w:after="0"/>
              <w:jc w:val="both"/>
              <w:rPr>
                <w:rFonts w:asciiTheme="minorHAnsi" w:hAnsiTheme="minorHAnsi" w:cstheme="minorHAnsi"/>
                <w:lang w:val="id-ID"/>
              </w:rPr>
            </w:pPr>
          </w:p>
        </w:tc>
        <w:tc>
          <w:tcPr>
            <w:tcW w:w="2998" w:type="dxa"/>
            <w:shd w:val="clear" w:color="auto" w:fill="FFF2CC" w:themeFill="accent4" w:themeFillTint="33"/>
            <w:noWrap/>
            <w:hideMark/>
          </w:tcPr>
          <w:p w14:paraId="52C2BD4D" w14:textId="77777777" w:rsidR="00E7206E" w:rsidRPr="001A5072" w:rsidRDefault="00E7206E" w:rsidP="00C52FED">
            <w:pPr>
              <w:pStyle w:val="NormalWeb"/>
              <w:spacing w:before="0" w:beforeAutospacing="0" w:after="0"/>
              <w:ind w:left="314"/>
              <w:jc w:val="both"/>
              <w:rPr>
                <w:rFonts w:asciiTheme="minorHAnsi" w:hAnsiTheme="minorHAnsi" w:cstheme="minorHAnsi"/>
                <w:lang w:val="id-ID"/>
              </w:rPr>
            </w:pPr>
            <w:r w:rsidRPr="001A5072">
              <w:rPr>
                <w:rFonts w:asciiTheme="minorHAnsi" w:hAnsiTheme="minorHAnsi" w:cstheme="minorHAnsi"/>
                <w:lang w:val="id-ID"/>
              </w:rPr>
              <w:t>Kota Jayapura</w:t>
            </w:r>
          </w:p>
        </w:tc>
        <w:tc>
          <w:tcPr>
            <w:tcW w:w="2350" w:type="dxa"/>
            <w:shd w:val="clear" w:color="auto" w:fill="FFF2CC" w:themeFill="accent4" w:themeFillTint="33"/>
            <w:noWrap/>
            <w:hideMark/>
          </w:tcPr>
          <w:p w14:paraId="565A0B86" w14:textId="77777777" w:rsidR="00E7206E" w:rsidRPr="001A5072" w:rsidRDefault="00E7206E" w:rsidP="00C52FED">
            <w:pPr>
              <w:pStyle w:val="NormalWeb"/>
              <w:spacing w:before="0" w:beforeAutospacing="0" w:after="0"/>
              <w:jc w:val="center"/>
              <w:rPr>
                <w:rFonts w:asciiTheme="minorHAnsi" w:hAnsiTheme="minorHAnsi" w:cstheme="minorHAnsi"/>
                <w:lang w:val="id-ID"/>
              </w:rPr>
            </w:pPr>
            <w:r w:rsidRPr="001A5072">
              <w:rPr>
                <w:rFonts w:asciiTheme="minorHAnsi" w:hAnsiTheme="minorHAnsi" w:cstheme="minorHAnsi"/>
                <w:lang w:val="id-ID"/>
              </w:rPr>
              <w:t>80,85</w:t>
            </w:r>
          </w:p>
        </w:tc>
      </w:tr>
      <w:tr w:rsidR="00E7206E" w:rsidRPr="001A5072" w14:paraId="772C0464" w14:textId="77777777" w:rsidTr="00E7206E">
        <w:trPr>
          <w:gridAfter w:val="1"/>
          <w:wAfter w:w="48" w:type="dxa"/>
          <w:trHeight w:val="349"/>
          <w:jc w:val="center"/>
        </w:trPr>
        <w:tc>
          <w:tcPr>
            <w:tcW w:w="743" w:type="dxa"/>
          </w:tcPr>
          <w:p w14:paraId="58B23128"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p>
        </w:tc>
        <w:tc>
          <w:tcPr>
            <w:tcW w:w="2998" w:type="dxa"/>
            <w:noWrap/>
            <w:hideMark/>
          </w:tcPr>
          <w:p w14:paraId="4714A1A0" w14:textId="77777777" w:rsidR="00E7206E" w:rsidRPr="001A5072" w:rsidRDefault="00E7206E" w:rsidP="00C52FED">
            <w:pPr>
              <w:pStyle w:val="NormalWeb"/>
              <w:spacing w:before="0" w:beforeAutospacing="0" w:after="0"/>
              <w:jc w:val="both"/>
              <w:rPr>
                <w:rFonts w:asciiTheme="minorHAnsi" w:hAnsiTheme="minorHAnsi" w:cstheme="minorHAnsi"/>
                <w:b/>
                <w:bCs/>
                <w:lang w:val="id-ID"/>
              </w:rPr>
            </w:pPr>
            <w:r w:rsidRPr="001A5072">
              <w:rPr>
                <w:rFonts w:asciiTheme="minorHAnsi" w:hAnsiTheme="minorHAnsi" w:cstheme="minorHAnsi"/>
                <w:b/>
                <w:bCs/>
                <w:lang w:val="id-ID"/>
              </w:rPr>
              <w:t>Indonesia</w:t>
            </w:r>
          </w:p>
        </w:tc>
        <w:tc>
          <w:tcPr>
            <w:tcW w:w="2350" w:type="dxa"/>
            <w:noWrap/>
            <w:hideMark/>
          </w:tcPr>
          <w:p w14:paraId="1641D8EF" w14:textId="77777777" w:rsidR="00E7206E" w:rsidRPr="001A5072" w:rsidRDefault="00E7206E" w:rsidP="00C52FED">
            <w:pPr>
              <w:pStyle w:val="NormalWeb"/>
              <w:spacing w:before="0" w:beforeAutospacing="0" w:after="0"/>
              <w:jc w:val="center"/>
              <w:rPr>
                <w:rFonts w:asciiTheme="minorHAnsi" w:hAnsiTheme="minorHAnsi" w:cstheme="minorHAnsi"/>
                <w:b/>
                <w:bCs/>
                <w:lang w:val="id-ID"/>
              </w:rPr>
            </w:pPr>
            <w:r w:rsidRPr="001A5072">
              <w:rPr>
                <w:rFonts w:asciiTheme="minorHAnsi" w:hAnsiTheme="minorHAnsi" w:cstheme="minorHAnsi"/>
                <w:b/>
                <w:bCs/>
                <w:lang w:val="id-ID"/>
              </w:rPr>
              <w:t>64,66</w:t>
            </w:r>
          </w:p>
        </w:tc>
      </w:tr>
    </w:tbl>
    <w:p w14:paraId="156E2574" w14:textId="77777777" w:rsidR="006B3A03" w:rsidRPr="001A5072" w:rsidRDefault="006B3A03" w:rsidP="006B3A03">
      <w:pPr>
        <w:pStyle w:val="NormalWeb"/>
        <w:spacing w:before="0" w:beforeAutospacing="0" w:after="0" w:afterAutospacing="0"/>
        <w:ind w:left="1560" w:right="1649"/>
        <w:jc w:val="both"/>
        <w:rPr>
          <w:rFonts w:asciiTheme="minorHAnsi" w:hAnsiTheme="minorHAnsi" w:cstheme="minorHAnsi"/>
          <w:sz w:val="20"/>
          <w:szCs w:val="20"/>
          <w:lang w:val="id-ID"/>
        </w:rPr>
      </w:pPr>
    </w:p>
    <w:p w14:paraId="6EB159AD" w14:textId="2DCFBC0E" w:rsidR="006B3A03" w:rsidRPr="001A5072" w:rsidRDefault="006B3A03" w:rsidP="006B3A03">
      <w:pPr>
        <w:pStyle w:val="NormalWeb"/>
        <w:spacing w:before="0" w:beforeAutospacing="0" w:after="0" w:afterAutospacing="0"/>
        <w:ind w:left="1560" w:right="1649"/>
        <w:jc w:val="both"/>
        <w:rPr>
          <w:rFonts w:asciiTheme="minorHAnsi" w:hAnsiTheme="minorHAnsi" w:cstheme="minorHAnsi"/>
          <w:sz w:val="20"/>
          <w:szCs w:val="20"/>
          <w:lang w:val="id-ID"/>
        </w:rPr>
      </w:pPr>
      <w:r w:rsidRPr="001A5072">
        <w:rPr>
          <w:rFonts w:asciiTheme="minorHAnsi" w:hAnsiTheme="minorHAnsi" w:cstheme="minorHAnsi"/>
          <w:sz w:val="20"/>
          <w:szCs w:val="20"/>
          <w:lang w:val="id-ID"/>
        </w:rPr>
        <w:t xml:space="preserve">Keterangan: Nilai klaster seperti Sumatra, Jawa-Bali, Nusa Tenggara &amp; Maluku, Kalimantan, Sulawesi, dan Papua merupakan nilai rata-rata indikator pada wilayah tersebut. </w:t>
      </w:r>
    </w:p>
    <w:p w14:paraId="63A61880" w14:textId="484653E4" w:rsidR="006B3A03" w:rsidRPr="001A5072" w:rsidRDefault="006B3A03" w:rsidP="006B3A03">
      <w:pPr>
        <w:pStyle w:val="NormalWeb"/>
        <w:spacing w:before="0" w:beforeAutospacing="0"/>
        <w:ind w:left="1560" w:right="1649"/>
        <w:jc w:val="both"/>
        <w:rPr>
          <w:rFonts w:asciiTheme="minorHAnsi" w:hAnsiTheme="minorHAnsi" w:cstheme="minorHAnsi"/>
          <w:sz w:val="20"/>
          <w:szCs w:val="20"/>
          <w:lang w:val="id-ID"/>
        </w:rPr>
      </w:pPr>
      <w:r w:rsidRPr="001A5072">
        <w:rPr>
          <w:rFonts w:asciiTheme="minorHAnsi" w:hAnsiTheme="minorHAnsi" w:cstheme="minorHAnsi"/>
          <w:sz w:val="20"/>
          <w:szCs w:val="20"/>
          <w:lang w:val="id-ID"/>
        </w:rPr>
        <w:t>Sumber: NEXT Indonesia Center mengolah data Badan Pusat Statistik (BPS)</w:t>
      </w:r>
    </w:p>
    <w:p w14:paraId="60F6815E" w14:textId="77777777" w:rsidR="006B3A03" w:rsidRPr="001A5072" w:rsidRDefault="006B3A03" w:rsidP="006B3A03">
      <w:pPr>
        <w:spacing w:after="0" w:line="240" w:lineRule="auto"/>
        <w:jc w:val="both"/>
        <w:rPr>
          <w:rFonts w:eastAsia="Times New Roman" w:cstheme="minorHAnsi"/>
          <w:color w:val="000000"/>
          <w:kern w:val="0"/>
          <w:sz w:val="24"/>
          <w:szCs w:val="24"/>
          <w:lang w:val="id-ID"/>
          <w14:ligatures w14:val="none"/>
        </w:rPr>
      </w:pPr>
    </w:p>
    <w:p w14:paraId="4A6DCAD9" w14:textId="77777777" w:rsidR="00E04E3F" w:rsidRPr="001A5072" w:rsidRDefault="00E04E3F" w:rsidP="006B3A03">
      <w:pPr>
        <w:spacing w:after="0" w:line="240" w:lineRule="auto"/>
        <w:jc w:val="both"/>
        <w:rPr>
          <w:rFonts w:eastAsia="Times New Roman" w:cstheme="minorHAnsi"/>
          <w:color w:val="000000"/>
          <w:kern w:val="0"/>
          <w:sz w:val="24"/>
          <w:szCs w:val="24"/>
          <w:lang w:val="id-ID"/>
          <w14:ligatures w14:val="none"/>
        </w:rPr>
      </w:pPr>
    </w:p>
    <w:p w14:paraId="6DA2F8DB" w14:textId="77777777" w:rsidR="00E04E3F" w:rsidRPr="001A5072" w:rsidRDefault="00E04E3F" w:rsidP="006B3A03">
      <w:pPr>
        <w:spacing w:after="0" w:line="240" w:lineRule="auto"/>
        <w:jc w:val="both"/>
        <w:rPr>
          <w:rFonts w:eastAsia="Times New Roman" w:cstheme="minorHAnsi"/>
          <w:color w:val="000000"/>
          <w:kern w:val="0"/>
          <w:sz w:val="24"/>
          <w:szCs w:val="24"/>
          <w:lang w:val="id-ID"/>
          <w14:ligatures w14:val="none"/>
        </w:rPr>
      </w:pPr>
    </w:p>
    <w:p w14:paraId="26954D7D" w14:textId="77777777" w:rsidR="00E04E3F" w:rsidRPr="001A5072" w:rsidRDefault="00E04E3F" w:rsidP="006B3A03">
      <w:pPr>
        <w:spacing w:after="0" w:line="240" w:lineRule="auto"/>
        <w:jc w:val="both"/>
        <w:rPr>
          <w:rFonts w:eastAsia="Times New Roman" w:cstheme="minorHAnsi"/>
          <w:color w:val="000000"/>
          <w:kern w:val="0"/>
          <w:sz w:val="24"/>
          <w:szCs w:val="24"/>
          <w:lang w:val="id-ID"/>
          <w14:ligatures w14:val="none"/>
        </w:rPr>
      </w:pPr>
    </w:p>
    <w:p w14:paraId="6BCDCEB5" w14:textId="77777777" w:rsidR="006B3A03" w:rsidRPr="001A5072" w:rsidRDefault="006B3A03" w:rsidP="006B3A03">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71D08D0A" wp14:editId="68BFB011">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AE99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517FF49B" w14:textId="77777777" w:rsidR="006B3A03" w:rsidRPr="001A5072" w:rsidRDefault="006B3A03" w:rsidP="006B3A03">
      <w:pPr>
        <w:spacing w:after="80"/>
        <w:rPr>
          <w:rFonts w:cstheme="minorHAnsi"/>
          <w:b/>
          <w:bCs/>
          <w:sz w:val="20"/>
          <w:szCs w:val="20"/>
          <w:lang w:val="id-ID"/>
        </w:rPr>
      </w:pPr>
      <w:r w:rsidRPr="001A5072">
        <w:rPr>
          <w:rFonts w:cstheme="minorHAnsi"/>
          <w:b/>
          <w:bCs/>
          <w:sz w:val="20"/>
          <w:szCs w:val="20"/>
          <w:lang w:val="id-ID"/>
        </w:rPr>
        <w:t>NEXT Indonesia Center</w:t>
      </w:r>
    </w:p>
    <w:p w14:paraId="34D7CC14" w14:textId="77777777" w:rsidR="006B3A03" w:rsidRPr="001A5072" w:rsidRDefault="006B3A03" w:rsidP="006B3A03">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55BCF913" w14:textId="77777777" w:rsidR="006B3A03" w:rsidRPr="001A5072" w:rsidRDefault="006B3A03" w:rsidP="006B3A03">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4DAC37A0" w14:textId="77777777" w:rsidR="006B3A03" w:rsidRPr="001A5072" w:rsidRDefault="006B3A03" w:rsidP="006B3A03">
      <w:pPr>
        <w:spacing w:after="80"/>
        <w:jc w:val="both"/>
        <w:rPr>
          <w:rFonts w:cstheme="minorHAnsi"/>
          <w:sz w:val="20"/>
          <w:szCs w:val="20"/>
          <w:lang w:val="id-ID"/>
        </w:rPr>
      </w:pPr>
    </w:p>
    <w:p w14:paraId="62DEDA47" w14:textId="77777777" w:rsidR="006B3A03" w:rsidRPr="001A5072" w:rsidRDefault="006B3A03" w:rsidP="006B3A03">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1A68B7E0" w14:textId="77777777" w:rsidR="006B3A03" w:rsidRPr="001A5072" w:rsidRDefault="006B3A03" w:rsidP="006B3A03">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w:t>
      </w:r>
      <w:proofErr w:type="spellStart"/>
      <w:r w:rsidRPr="001A5072">
        <w:rPr>
          <w:rFonts w:cstheme="minorHAnsi"/>
          <w:sz w:val="20"/>
          <w:szCs w:val="20"/>
          <w:lang w:val="id-ID"/>
        </w:rPr>
        <w:t>Next</w:t>
      </w:r>
      <w:proofErr w:type="spellEnd"/>
      <w:r w:rsidRPr="001A5072">
        <w:rPr>
          <w:rFonts w:cstheme="minorHAnsi"/>
          <w:sz w:val="20"/>
          <w:szCs w:val="20"/>
          <w:lang w:val="id-ID"/>
        </w:rPr>
        <w:t xml:space="preserve"> Indonesia Center,</w:t>
      </w:r>
    </w:p>
    <w:p w14:paraId="47C7F3BE" w14:textId="48CA8EB3" w:rsidR="00827C4F" w:rsidRPr="001A5072" w:rsidRDefault="006B3A03" w:rsidP="00E04E3F">
      <w:pPr>
        <w:spacing w:after="80"/>
        <w:rPr>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sectPr w:rsidR="00827C4F" w:rsidRPr="001A5072"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4705" w14:textId="77777777" w:rsidR="008F5A9C" w:rsidRDefault="008F5A9C" w:rsidP="00CA5738">
      <w:pPr>
        <w:spacing w:after="0" w:line="240" w:lineRule="auto"/>
      </w:pPr>
      <w:r>
        <w:separator/>
      </w:r>
    </w:p>
  </w:endnote>
  <w:endnote w:type="continuationSeparator" w:id="0">
    <w:p w14:paraId="62CD8CF1" w14:textId="77777777" w:rsidR="008F5A9C" w:rsidRDefault="008F5A9C" w:rsidP="00CA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AC29" w14:textId="77777777" w:rsidR="008F5A9C" w:rsidRDefault="008F5A9C" w:rsidP="00CA5738">
      <w:pPr>
        <w:spacing w:after="0" w:line="240" w:lineRule="auto"/>
      </w:pPr>
      <w:r>
        <w:separator/>
      </w:r>
    </w:p>
  </w:footnote>
  <w:footnote w:type="continuationSeparator" w:id="0">
    <w:p w14:paraId="273A237C" w14:textId="77777777" w:rsidR="008F5A9C" w:rsidRDefault="008F5A9C" w:rsidP="00CA5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6AB3" w14:textId="77777777" w:rsidR="00751F52" w:rsidRPr="00562DDA" w:rsidRDefault="00986983" w:rsidP="00562DDA">
    <w:pPr>
      <w:pStyle w:val="Header"/>
      <w:jc w:val="right"/>
      <w:rPr>
        <w:b/>
        <w:bCs/>
        <w:sz w:val="18"/>
        <w:szCs w:val="18"/>
      </w:rPr>
    </w:pPr>
    <w:r>
      <w:rPr>
        <w:noProof/>
      </w:rPr>
      <w:drawing>
        <wp:anchor distT="0" distB="0" distL="114300" distR="114300" simplePos="0" relativeHeight="251659264" behindDoc="0" locked="0" layoutInCell="1" allowOverlap="1" wp14:anchorId="109055CF" wp14:editId="0C38A8E4">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F54056E" w14:textId="77777777" w:rsidR="00751F52" w:rsidRPr="00562DDA" w:rsidRDefault="00986983"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656133D6" w14:textId="53EED632" w:rsidR="00751F52" w:rsidRDefault="00CA5738" w:rsidP="00562DDA">
    <w:pPr>
      <w:pStyle w:val="Header"/>
      <w:jc w:val="right"/>
    </w:pPr>
    <w:proofErr w:type="spellStart"/>
    <w:r>
      <w:rPr>
        <w:sz w:val="18"/>
        <w:szCs w:val="18"/>
      </w:rPr>
      <w:t>Minggu</w:t>
    </w:r>
    <w:proofErr w:type="spellEnd"/>
    <w:r w:rsidR="00986983">
      <w:rPr>
        <w:sz w:val="18"/>
        <w:szCs w:val="18"/>
      </w:rPr>
      <w:t>,</w:t>
    </w:r>
    <w:r w:rsidR="00986983" w:rsidRPr="00562DDA">
      <w:rPr>
        <w:sz w:val="18"/>
        <w:szCs w:val="18"/>
      </w:rPr>
      <w:t xml:space="preserve"> </w:t>
    </w:r>
    <w:r w:rsidR="00986983">
      <w:rPr>
        <w:sz w:val="18"/>
        <w:szCs w:val="18"/>
      </w:rPr>
      <w:t>0</w:t>
    </w:r>
    <w:r>
      <w:rPr>
        <w:sz w:val="18"/>
        <w:szCs w:val="18"/>
      </w:rPr>
      <w:t>1</w:t>
    </w:r>
    <w:r w:rsidR="00986983">
      <w:rPr>
        <w:sz w:val="18"/>
        <w:szCs w:val="18"/>
      </w:rPr>
      <w:t xml:space="preserve"> </w:t>
    </w:r>
    <w:proofErr w:type="spellStart"/>
    <w:r>
      <w:rPr>
        <w:sz w:val="18"/>
        <w:szCs w:val="18"/>
      </w:rPr>
      <w:t>Februari</w:t>
    </w:r>
    <w:proofErr w:type="spellEnd"/>
    <w:r w:rsidR="00986983">
      <w:rPr>
        <w:sz w:val="18"/>
        <w:szCs w:val="18"/>
      </w:rPr>
      <w:t xml:space="preserve"> </w:t>
    </w:r>
    <w:r w:rsidR="00986983" w:rsidRPr="00562DDA">
      <w:rPr>
        <w:sz w:val="18"/>
        <w:szCs w:val="18"/>
      </w:rPr>
      <w:t>202</w:t>
    </w:r>
    <w:r w:rsidR="00986983">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7709C"/>
    <w:multiLevelType w:val="multilevel"/>
    <w:tmpl w:val="C19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3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03"/>
    <w:rsid w:val="00015DA4"/>
    <w:rsid w:val="00033792"/>
    <w:rsid w:val="000B33C5"/>
    <w:rsid w:val="001175B4"/>
    <w:rsid w:val="001867EF"/>
    <w:rsid w:val="001912C0"/>
    <w:rsid w:val="001A5072"/>
    <w:rsid w:val="00210FC5"/>
    <w:rsid w:val="0021772F"/>
    <w:rsid w:val="00257E16"/>
    <w:rsid w:val="002C4FF6"/>
    <w:rsid w:val="002D7101"/>
    <w:rsid w:val="002F7989"/>
    <w:rsid w:val="003E1A3A"/>
    <w:rsid w:val="003E531E"/>
    <w:rsid w:val="00403A59"/>
    <w:rsid w:val="0045376E"/>
    <w:rsid w:val="004E536F"/>
    <w:rsid w:val="005609B4"/>
    <w:rsid w:val="005931ED"/>
    <w:rsid w:val="005C3BAD"/>
    <w:rsid w:val="005E4D94"/>
    <w:rsid w:val="00611DF5"/>
    <w:rsid w:val="00695630"/>
    <w:rsid w:val="00696A93"/>
    <w:rsid w:val="00697AF4"/>
    <w:rsid w:val="006B3A03"/>
    <w:rsid w:val="007007DC"/>
    <w:rsid w:val="00751F52"/>
    <w:rsid w:val="0075463F"/>
    <w:rsid w:val="00804848"/>
    <w:rsid w:val="00827C4F"/>
    <w:rsid w:val="00833205"/>
    <w:rsid w:val="008E4D7B"/>
    <w:rsid w:val="008F5A9C"/>
    <w:rsid w:val="00921EFF"/>
    <w:rsid w:val="00986983"/>
    <w:rsid w:val="009B0682"/>
    <w:rsid w:val="009F73C6"/>
    <w:rsid w:val="00A06EB6"/>
    <w:rsid w:val="00A50BCB"/>
    <w:rsid w:val="00AB5832"/>
    <w:rsid w:val="00AD5F86"/>
    <w:rsid w:val="00B3292F"/>
    <w:rsid w:val="00B51680"/>
    <w:rsid w:val="00B52470"/>
    <w:rsid w:val="00B675EA"/>
    <w:rsid w:val="00BC361A"/>
    <w:rsid w:val="00BD2DD2"/>
    <w:rsid w:val="00C03C33"/>
    <w:rsid w:val="00CA5738"/>
    <w:rsid w:val="00CF1EE8"/>
    <w:rsid w:val="00CF696E"/>
    <w:rsid w:val="00D37308"/>
    <w:rsid w:val="00D74861"/>
    <w:rsid w:val="00DA0B5E"/>
    <w:rsid w:val="00E04E3F"/>
    <w:rsid w:val="00E65EE7"/>
    <w:rsid w:val="00E7206E"/>
    <w:rsid w:val="00F074B7"/>
    <w:rsid w:val="00F26284"/>
    <w:rsid w:val="00FB34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7DA8"/>
  <w15:chartTrackingRefBased/>
  <w15:docId w15:val="{7F13A8C2-2204-AF47-B8B2-BB84B970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03"/>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03"/>
    <w:rPr>
      <w:kern w:val="2"/>
      <w:sz w:val="22"/>
      <w:szCs w:val="22"/>
      <w:lang w:val="en-US"/>
      <w14:ligatures w14:val="standardContextual"/>
    </w:rPr>
  </w:style>
  <w:style w:type="character" w:styleId="Hyperlink">
    <w:name w:val="Hyperlink"/>
    <w:basedOn w:val="DefaultParagraphFont"/>
    <w:uiPriority w:val="99"/>
    <w:unhideWhenUsed/>
    <w:rsid w:val="006B3A03"/>
    <w:rPr>
      <w:color w:val="0563C1" w:themeColor="hyperlink"/>
      <w:u w:val="single"/>
    </w:rPr>
  </w:style>
  <w:style w:type="paragraph" w:styleId="NormalWeb">
    <w:name w:val="Normal (Web)"/>
    <w:basedOn w:val="Normal"/>
    <w:uiPriority w:val="99"/>
    <w:unhideWhenUsed/>
    <w:rsid w:val="006B3A03"/>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table" w:styleId="TableGrid">
    <w:name w:val="Table Grid"/>
    <w:basedOn w:val="TableNormal"/>
    <w:uiPriority w:val="39"/>
    <w:rsid w:val="006B3A0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5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738"/>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4566">
      <w:bodyDiv w:val="1"/>
      <w:marLeft w:val="0"/>
      <w:marRight w:val="0"/>
      <w:marTop w:val="0"/>
      <w:marBottom w:val="0"/>
      <w:divBdr>
        <w:top w:val="none" w:sz="0" w:space="0" w:color="auto"/>
        <w:left w:val="none" w:sz="0" w:space="0" w:color="auto"/>
        <w:bottom w:val="none" w:sz="0" w:space="0" w:color="auto"/>
        <w:right w:val="none" w:sz="0" w:space="0" w:color="auto"/>
      </w:divBdr>
    </w:div>
    <w:div w:id="260264175">
      <w:bodyDiv w:val="1"/>
      <w:marLeft w:val="0"/>
      <w:marRight w:val="0"/>
      <w:marTop w:val="0"/>
      <w:marBottom w:val="0"/>
      <w:divBdr>
        <w:top w:val="none" w:sz="0" w:space="0" w:color="auto"/>
        <w:left w:val="none" w:sz="0" w:space="0" w:color="auto"/>
        <w:bottom w:val="none" w:sz="0" w:space="0" w:color="auto"/>
        <w:right w:val="none" w:sz="0" w:space="0" w:color="auto"/>
      </w:divBdr>
    </w:div>
    <w:div w:id="293020721">
      <w:bodyDiv w:val="1"/>
      <w:marLeft w:val="0"/>
      <w:marRight w:val="0"/>
      <w:marTop w:val="0"/>
      <w:marBottom w:val="0"/>
      <w:divBdr>
        <w:top w:val="none" w:sz="0" w:space="0" w:color="auto"/>
        <w:left w:val="none" w:sz="0" w:space="0" w:color="auto"/>
        <w:bottom w:val="none" w:sz="0" w:space="0" w:color="auto"/>
        <w:right w:val="none" w:sz="0" w:space="0" w:color="auto"/>
      </w:divBdr>
    </w:div>
    <w:div w:id="705061359">
      <w:bodyDiv w:val="1"/>
      <w:marLeft w:val="0"/>
      <w:marRight w:val="0"/>
      <w:marTop w:val="0"/>
      <w:marBottom w:val="0"/>
      <w:divBdr>
        <w:top w:val="none" w:sz="0" w:space="0" w:color="auto"/>
        <w:left w:val="none" w:sz="0" w:space="0" w:color="auto"/>
        <w:bottom w:val="none" w:sz="0" w:space="0" w:color="auto"/>
        <w:right w:val="none" w:sz="0" w:space="0" w:color="auto"/>
      </w:divBdr>
    </w:div>
    <w:div w:id="804201083">
      <w:bodyDiv w:val="1"/>
      <w:marLeft w:val="0"/>
      <w:marRight w:val="0"/>
      <w:marTop w:val="0"/>
      <w:marBottom w:val="0"/>
      <w:divBdr>
        <w:top w:val="none" w:sz="0" w:space="0" w:color="auto"/>
        <w:left w:val="none" w:sz="0" w:space="0" w:color="auto"/>
        <w:bottom w:val="none" w:sz="0" w:space="0" w:color="auto"/>
        <w:right w:val="none" w:sz="0" w:space="0" w:color="auto"/>
      </w:divBdr>
    </w:div>
    <w:div w:id="1235319540">
      <w:bodyDiv w:val="1"/>
      <w:marLeft w:val="0"/>
      <w:marRight w:val="0"/>
      <w:marTop w:val="0"/>
      <w:marBottom w:val="0"/>
      <w:divBdr>
        <w:top w:val="none" w:sz="0" w:space="0" w:color="auto"/>
        <w:left w:val="none" w:sz="0" w:space="0" w:color="auto"/>
        <w:bottom w:val="none" w:sz="0" w:space="0" w:color="auto"/>
        <w:right w:val="none" w:sz="0" w:space="0" w:color="auto"/>
      </w:divBdr>
    </w:div>
    <w:div w:id="1484007534">
      <w:bodyDiv w:val="1"/>
      <w:marLeft w:val="0"/>
      <w:marRight w:val="0"/>
      <w:marTop w:val="0"/>
      <w:marBottom w:val="0"/>
      <w:divBdr>
        <w:top w:val="none" w:sz="0" w:space="0" w:color="auto"/>
        <w:left w:val="none" w:sz="0" w:space="0" w:color="auto"/>
        <w:bottom w:val="none" w:sz="0" w:space="0" w:color="auto"/>
        <w:right w:val="none" w:sz="0" w:space="0" w:color="auto"/>
      </w:divBdr>
    </w:div>
    <w:div w:id="1617902805">
      <w:bodyDiv w:val="1"/>
      <w:marLeft w:val="0"/>
      <w:marRight w:val="0"/>
      <w:marTop w:val="0"/>
      <w:marBottom w:val="0"/>
      <w:divBdr>
        <w:top w:val="none" w:sz="0" w:space="0" w:color="auto"/>
        <w:left w:val="none" w:sz="0" w:space="0" w:color="auto"/>
        <w:bottom w:val="none" w:sz="0" w:space="0" w:color="auto"/>
        <w:right w:val="none" w:sz="0" w:space="0" w:color="auto"/>
      </w:divBdr>
    </w:div>
    <w:div w:id="2058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855</Words>
  <Characters>5573</Characters>
  <Application>Microsoft Office Word</Application>
  <DocSecurity>0</DocSecurity>
  <Lines>146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4</cp:revision>
  <dcterms:created xsi:type="dcterms:W3CDTF">2026-01-31T18:04:00Z</dcterms:created>
  <dcterms:modified xsi:type="dcterms:W3CDTF">2026-01-31T18:23:00Z</dcterms:modified>
</cp:coreProperties>
</file>