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B7B53" w14:textId="77777777" w:rsidR="00D84E9E" w:rsidRPr="007D4AC5" w:rsidRDefault="00D84E9E" w:rsidP="00D84E9E">
      <w:pPr>
        <w:spacing w:before="240" w:after="40" w:line="240" w:lineRule="auto"/>
        <w:outlineLvl w:val="3"/>
        <w:rPr>
          <w:rFonts w:eastAsia="Times New Roman" w:cstheme="minorHAnsi"/>
          <w:b/>
          <w:bCs/>
          <w:kern w:val="0"/>
          <w:lang w:val="id-ID"/>
          <w14:ligatures w14:val="none"/>
        </w:rPr>
      </w:pPr>
      <w:r w:rsidRPr="007D4AC5">
        <w:rPr>
          <w:rFonts w:eastAsia="Times New Roman" w:cstheme="minorHAnsi"/>
          <w:b/>
          <w:bCs/>
          <w:i/>
          <w:iCs/>
          <w:color w:val="000000"/>
          <w:kern w:val="0"/>
          <w:lang w:val="id-ID"/>
          <w14:ligatures w14:val="none"/>
        </w:rPr>
        <w:t> </w:t>
      </w:r>
    </w:p>
    <w:p w14:paraId="4C46F492" w14:textId="4C1A012D" w:rsidR="00D84E9E" w:rsidRPr="007D4AC5" w:rsidRDefault="00D84E9E" w:rsidP="00D84E9E">
      <w:pPr>
        <w:spacing w:after="0" w:line="240" w:lineRule="auto"/>
        <w:jc w:val="center"/>
        <w:textAlignment w:val="baseline"/>
        <w:rPr>
          <w:rFonts w:eastAsia="Times New Roman" w:cstheme="minorHAnsi"/>
          <w:b/>
          <w:bCs/>
          <w:color w:val="000000"/>
          <w:kern w:val="0"/>
          <w:sz w:val="24"/>
          <w:szCs w:val="24"/>
          <w:lang w:val="id-ID"/>
          <w14:ligatures w14:val="none"/>
        </w:rPr>
      </w:pPr>
      <w:r w:rsidRPr="007D4AC5">
        <w:rPr>
          <w:rFonts w:eastAsia="Times New Roman" w:cstheme="minorHAnsi"/>
          <w:b/>
          <w:bCs/>
          <w:color w:val="000000"/>
          <w:kern w:val="0"/>
          <w:sz w:val="24"/>
          <w:szCs w:val="24"/>
          <w:lang w:val="id-ID"/>
          <w14:ligatures w14:val="none"/>
        </w:rPr>
        <w:t xml:space="preserve">Inilah </w:t>
      </w:r>
      <w:r w:rsidR="007D4AC5">
        <w:rPr>
          <w:rFonts w:eastAsia="Times New Roman" w:cstheme="minorHAnsi"/>
          <w:b/>
          <w:bCs/>
          <w:color w:val="000000"/>
          <w:kern w:val="0"/>
          <w:sz w:val="24"/>
          <w:szCs w:val="24"/>
          <w:lang w:val="id-ID"/>
          <w14:ligatures w14:val="none"/>
        </w:rPr>
        <w:t xml:space="preserve">Daftar </w:t>
      </w:r>
      <w:r w:rsidRPr="007D4AC5">
        <w:rPr>
          <w:rFonts w:eastAsia="Times New Roman" w:cstheme="minorHAnsi"/>
          <w:b/>
          <w:bCs/>
          <w:color w:val="000000"/>
          <w:kern w:val="0"/>
          <w:sz w:val="24"/>
          <w:szCs w:val="24"/>
          <w:lang w:val="id-ID"/>
          <w14:ligatures w14:val="none"/>
        </w:rPr>
        <w:t xml:space="preserve">Bank Penguasa Dana Masyarakat </w:t>
      </w:r>
    </w:p>
    <w:p w14:paraId="59216193" w14:textId="77777777" w:rsidR="00D84E9E" w:rsidRPr="007D4AC5" w:rsidRDefault="00D84E9E" w:rsidP="00D84E9E">
      <w:pPr>
        <w:spacing w:after="0" w:line="240" w:lineRule="auto"/>
        <w:jc w:val="center"/>
        <w:textAlignment w:val="baseline"/>
        <w:rPr>
          <w:rFonts w:eastAsia="Times New Roman" w:cstheme="minorHAnsi"/>
          <w:b/>
          <w:bCs/>
          <w:color w:val="000000"/>
          <w:kern w:val="0"/>
          <w:sz w:val="24"/>
          <w:szCs w:val="24"/>
          <w:lang w:val="id-ID"/>
          <w14:ligatures w14:val="none"/>
        </w:rPr>
      </w:pPr>
    </w:p>
    <w:p w14:paraId="70A92AC0" w14:textId="53AAADDA" w:rsidR="00D84E9E" w:rsidRPr="007D4AC5" w:rsidRDefault="00D84E9E" w:rsidP="00D84E9E">
      <w:pPr>
        <w:spacing w:before="240" w:after="240" w:line="240" w:lineRule="auto"/>
        <w:outlineLvl w:val="3"/>
        <w:rPr>
          <w:rFonts w:eastAsia="Times New Roman" w:cstheme="minorHAnsi"/>
          <w:b/>
          <w:bCs/>
          <w:kern w:val="0"/>
          <w:lang w:val="id-ID"/>
          <w14:ligatures w14:val="none"/>
        </w:rPr>
      </w:pPr>
      <w:r w:rsidRPr="007D4AC5">
        <w:rPr>
          <w:rFonts w:eastAsia="Times New Roman" w:cstheme="minorHAnsi"/>
          <w:b/>
          <w:bCs/>
          <w:color w:val="000000"/>
          <w:kern w:val="0"/>
          <w:lang w:val="id-ID"/>
          <w14:ligatures w14:val="none"/>
        </w:rPr>
        <w:t>JAKARTA</w:t>
      </w:r>
      <w:r w:rsidRPr="007D4AC5">
        <w:rPr>
          <w:rFonts w:eastAsia="Times New Roman" w:cstheme="minorHAnsi"/>
          <w:color w:val="000000"/>
          <w:kern w:val="0"/>
          <w:lang w:val="id-ID"/>
          <w14:ligatures w14:val="none"/>
        </w:rPr>
        <w:t xml:space="preserve"> -  Data Otoritas Jasa Keuangan (OJK) per Juni 2025 menunjukkan struktur simpanan masyarakat di perbankan Indonesia terpusat pada empat bank besar: Bank Mandiri, BRI, BNI, dan BCA. Keempat bank yang masuk kategori KBMI 4 –kelompok bank dengan modal inti di atas Rp70 triliun</w:t>
      </w:r>
      <w:r w:rsidR="007D4AC5">
        <w:rPr>
          <w:rFonts w:eastAsia="Times New Roman" w:cstheme="minorHAnsi"/>
          <w:color w:val="000000"/>
          <w:kern w:val="0"/>
          <w:lang w:val="id-ID"/>
          <w14:ligatures w14:val="none"/>
        </w:rPr>
        <w:t>–</w:t>
      </w:r>
      <w:r w:rsidRPr="007D4AC5">
        <w:rPr>
          <w:rFonts w:eastAsia="Times New Roman" w:cstheme="minorHAnsi"/>
          <w:color w:val="000000"/>
          <w:kern w:val="0"/>
          <w:lang w:val="id-ID"/>
          <w14:ligatures w14:val="none"/>
        </w:rPr>
        <w:t xml:space="preserve"> menguasai Dana Pihak Ketiga (DPK) </w:t>
      </w:r>
      <w:r w:rsidR="00C77403">
        <w:rPr>
          <w:rFonts w:eastAsia="Times New Roman" w:cstheme="minorHAnsi"/>
          <w:color w:val="000000"/>
          <w:kern w:val="0"/>
          <w:lang w:val="id-ID"/>
          <w14:ligatures w14:val="none"/>
        </w:rPr>
        <w:t xml:space="preserve">sekitar </w:t>
      </w:r>
      <w:r w:rsidRPr="007D4AC5">
        <w:rPr>
          <w:rFonts w:eastAsia="Times New Roman" w:cstheme="minorHAnsi"/>
          <w:color w:val="000000"/>
          <w:kern w:val="0"/>
          <w:lang w:val="id-ID"/>
          <w14:ligatures w14:val="none"/>
        </w:rPr>
        <w:t>Rp4.985,2 triliun, atau 53,44% dari total dana masyarakat yang masuk ke sistem perbankan nasional sebesar Rp9.329 triliun.</w:t>
      </w:r>
    </w:p>
    <w:p w14:paraId="24DA0C9A" w14:textId="77777777" w:rsidR="00D84E9E" w:rsidRPr="007D4AC5" w:rsidRDefault="00D84E9E" w:rsidP="00D84E9E">
      <w:pPr>
        <w:spacing w:before="240" w:after="240" w:line="240" w:lineRule="auto"/>
        <w:outlineLvl w:val="3"/>
        <w:rPr>
          <w:rFonts w:eastAsia="Times New Roman" w:cstheme="minorHAnsi"/>
          <w:b/>
          <w:bCs/>
          <w:kern w:val="0"/>
          <w:lang w:val="id-ID"/>
          <w14:ligatures w14:val="none"/>
        </w:rPr>
      </w:pPr>
      <w:r w:rsidRPr="007D4AC5">
        <w:rPr>
          <w:rFonts w:eastAsia="Times New Roman" w:cstheme="minorHAnsi"/>
          <w:color w:val="000000"/>
          <w:kern w:val="0"/>
          <w:lang w:val="id-ID"/>
          <w14:ligatures w14:val="none"/>
        </w:rPr>
        <w:t>“Angka tersebut menegaskan posisi mereka sebagai pemain dominan dalam likuiditas perbankan nasional. Namun, konsentrasi yang terlalu tinggi pada bank-bank besar juga bisa menimbulkan risiko sistemik jika tidak disertai tata kelola yang kuat,” ungkap Direktur Eksekutif NEXT Indonesia Center Christiantoko di Jakarta, Minggu (14/12/2025).</w:t>
      </w:r>
    </w:p>
    <w:p w14:paraId="5C22255E" w14:textId="77777777" w:rsidR="00D84E9E" w:rsidRPr="007D4AC5" w:rsidRDefault="00D84E9E" w:rsidP="00D84E9E">
      <w:pPr>
        <w:spacing w:before="240" w:after="240" w:line="240" w:lineRule="auto"/>
        <w:outlineLvl w:val="3"/>
        <w:rPr>
          <w:rFonts w:eastAsia="Times New Roman" w:cstheme="minorHAnsi"/>
          <w:b/>
          <w:bCs/>
          <w:kern w:val="0"/>
          <w:lang w:val="id-ID"/>
          <w14:ligatures w14:val="none"/>
        </w:rPr>
      </w:pPr>
      <w:r w:rsidRPr="007D4AC5">
        <w:rPr>
          <w:rFonts w:eastAsia="Times New Roman" w:cstheme="minorHAnsi"/>
          <w:color w:val="000000"/>
          <w:kern w:val="0"/>
          <w:lang w:val="id-ID"/>
          <w14:ligatures w14:val="none"/>
        </w:rPr>
        <w:t>DPK adalah uang masyarakat yang disimpan di bank dalam bentuk giro, tabungan, dan deposito berjangka. Dana ini menjadi sumber pendanaan utama bank untuk menyalurkan kredit dan menjaga likuiditas.</w:t>
      </w:r>
      <w:r w:rsidRPr="007D4AC5">
        <w:rPr>
          <w:rFonts w:eastAsia="Times New Roman" w:cstheme="minorHAnsi"/>
          <w:b/>
          <w:bCs/>
          <w:kern w:val="0"/>
          <w:lang w:val="id-ID"/>
          <w14:ligatures w14:val="none"/>
        </w:rPr>
        <w:t xml:space="preserve"> </w:t>
      </w:r>
    </w:p>
    <w:p w14:paraId="2500748C" w14:textId="1C063FF8" w:rsidR="00D84E9E" w:rsidRPr="007D4AC5" w:rsidRDefault="00D84E9E" w:rsidP="00D84E9E">
      <w:pPr>
        <w:spacing w:before="240" w:after="240" w:line="240" w:lineRule="auto"/>
        <w:outlineLvl w:val="3"/>
        <w:rPr>
          <w:rFonts w:eastAsia="Times New Roman" w:cstheme="minorHAnsi"/>
          <w:b/>
          <w:bCs/>
          <w:kern w:val="0"/>
          <w:lang w:val="id-ID"/>
          <w14:ligatures w14:val="none"/>
        </w:rPr>
      </w:pPr>
      <w:r w:rsidRPr="007D4AC5">
        <w:rPr>
          <w:rFonts w:eastAsia="Times New Roman" w:cstheme="minorHAnsi"/>
          <w:color w:val="000000"/>
          <w:kern w:val="0"/>
          <w:lang w:val="id-ID"/>
          <w14:ligatures w14:val="none"/>
        </w:rPr>
        <w:t xml:space="preserve">Lembaga Penjamin Simpanan (LPS) mencatat </w:t>
      </w:r>
      <w:r w:rsidR="00C77403">
        <w:rPr>
          <w:rFonts w:eastAsia="Times New Roman" w:cstheme="minorHAnsi"/>
          <w:color w:val="000000"/>
          <w:kern w:val="0"/>
          <w:lang w:val="id-ID"/>
          <w14:ligatures w14:val="none"/>
        </w:rPr>
        <w:t xml:space="preserve">simpanan </w:t>
      </w:r>
      <w:r w:rsidRPr="007D4AC5">
        <w:rPr>
          <w:rFonts w:eastAsia="Times New Roman" w:cstheme="minorHAnsi"/>
          <w:color w:val="000000"/>
          <w:kern w:val="0"/>
          <w:lang w:val="id-ID"/>
          <w14:ligatures w14:val="none"/>
        </w:rPr>
        <w:t>tren pertumbuhan DPK yang positif</w:t>
      </w:r>
      <w:r w:rsidR="00C77403">
        <w:rPr>
          <w:rFonts w:eastAsia="Times New Roman" w:cstheme="minorHAnsi"/>
          <w:color w:val="000000"/>
          <w:kern w:val="0"/>
          <w:lang w:val="id-ID"/>
          <w14:ligatures w14:val="none"/>
        </w:rPr>
        <w:t>, walaupun ada beberapa periode di tahun 2025 yang mengalami perlambatan</w:t>
      </w:r>
      <w:r w:rsidRPr="007D4AC5">
        <w:rPr>
          <w:rFonts w:eastAsia="Times New Roman" w:cstheme="minorHAnsi"/>
          <w:color w:val="000000"/>
          <w:kern w:val="0"/>
          <w:lang w:val="id-ID"/>
          <w14:ligatures w14:val="none"/>
        </w:rPr>
        <w:t>. Total simpanan masyarakat di bank-bank nasional per September 2025 naik 10,38% secara tahunan (</w:t>
      </w:r>
      <w:r w:rsidRPr="007D4AC5">
        <w:rPr>
          <w:rFonts w:eastAsia="Times New Roman" w:cstheme="minorHAnsi"/>
          <w:i/>
          <w:iCs/>
          <w:color w:val="000000"/>
          <w:kern w:val="0"/>
          <w:lang w:val="id-ID"/>
          <w14:ligatures w14:val="none"/>
        </w:rPr>
        <w:t>year on year</w:t>
      </w:r>
      <w:r w:rsidR="00C77403">
        <w:rPr>
          <w:rFonts w:eastAsia="Times New Roman" w:cstheme="minorHAnsi"/>
          <w:color w:val="000000"/>
          <w:kern w:val="0"/>
          <w:lang w:val="id-ID"/>
          <w14:ligatures w14:val="none"/>
        </w:rPr>
        <w:t xml:space="preserve">, </w:t>
      </w:r>
      <w:r w:rsidRPr="007D4AC5">
        <w:rPr>
          <w:rFonts w:eastAsia="Times New Roman" w:cstheme="minorHAnsi"/>
          <w:color w:val="000000"/>
          <w:kern w:val="0"/>
          <w:lang w:val="id-ID"/>
          <w14:ligatures w14:val="none"/>
        </w:rPr>
        <w:t>yoy) menjadi Rp9.676,8 triliun. Semua jenis simpanan tumbuh; giro meningkat 14,20%, tabungan 6,43%, dan deposito berjangka 10,39%.</w:t>
      </w:r>
    </w:p>
    <w:p w14:paraId="1D83D9D5" w14:textId="72C2DB70" w:rsidR="00D84E9E" w:rsidRPr="007D4AC5" w:rsidRDefault="00D84E9E" w:rsidP="00D84E9E">
      <w:pPr>
        <w:spacing w:after="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Christiantoko menjelaskan</w:t>
      </w:r>
      <w:r w:rsidR="00C77403">
        <w:rPr>
          <w:rFonts w:eastAsia="Times New Roman" w:cstheme="minorHAnsi"/>
          <w:color w:val="000000"/>
          <w:kern w:val="0"/>
          <w:lang w:val="id-ID"/>
          <w14:ligatures w14:val="none"/>
        </w:rPr>
        <w:t xml:space="preserve">, kinerja DPK pada September itu merupakan yang tertinggi sejak Juli 2021. Kondisi ini, katanya, memberikan sinyal terhadap dua hal. Pertama, </w:t>
      </w:r>
      <w:r w:rsidR="00F45F6E">
        <w:rPr>
          <w:rFonts w:eastAsia="Times New Roman" w:cstheme="minorHAnsi"/>
          <w:color w:val="000000"/>
          <w:kern w:val="0"/>
          <w:lang w:val="id-ID"/>
          <w14:ligatures w14:val="none"/>
        </w:rPr>
        <w:t xml:space="preserve">pendapatan masyarakat membaik. Kedua, </w:t>
      </w:r>
      <w:r w:rsidRPr="007D4AC5">
        <w:rPr>
          <w:rFonts w:eastAsia="Times New Roman" w:cstheme="minorHAnsi"/>
          <w:color w:val="000000"/>
          <w:kern w:val="0"/>
          <w:lang w:val="id-ID"/>
          <w14:ligatures w14:val="none"/>
        </w:rPr>
        <w:t>kepercayaan publik terhadap sistem perbankan masih cukup tinggi</w:t>
      </w:r>
      <w:r w:rsidR="00F45F6E">
        <w:rPr>
          <w:rFonts w:eastAsia="Times New Roman" w:cstheme="minorHAnsi"/>
          <w:color w:val="000000"/>
          <w:kern w:val="0"/>
          <w:lang w:val="id-ID"/>
          <w14:ligatures w14:val="none"/>
        </w:rPr>
        <w:t>.</w:t>
      </w:r>
    </w:p>
    <w:p w14:paraId="664871FB" w14:textId="77777777" w:rsidR="00D84E9E" w:rsidRPr="007D4AC5" w:rsidRDefault="00D84E9E" w:rsidP="00D84E9E">
      <w:pPr>
        <w:spacing w:after="0" w:line="240" w:lineRule="auto"/>
        <w:rPr>
          <w:rFonts w:eastAsia="Times New Roman" w:cstheme="minorHAnsi"/>
          <w:kern w:val="0"/>
          <w:lang w:val="id-ID"/>
          <w14:ligatures w14:val="none"/>
        </w:rPr>
      </w:pPr>
    </w:p>
    <w:p w14:paraId="37ED7BD6" w14:textId="77777777" w:rsidR="00F45F6E" w:rsidRDefault="00D84E9E" w:rsidP="00F45F6E">
      <w:pPr>
        <w:spacing w:after="0" w:line="240" w:lineRule="auto"/>
        <w:rPr>
          <w:rFonts w:eastAsia="Times New Roman" w:cstheme="minorHAnsi"/>
          <w:color w:val="000000"/>
          <w:kern w:val="0"/>
          <w:lang w:val="id-ID"/>
          <w14:ligatures w14:val="none"/>
        </w:rPr>
      </w:pPr>
      <w:r w:rsidRPr="007D4AC5">
        <w:rPr>
          <w:rFonts w:eastAsia="Times New Roman" w:cstheme="minorHAnsi"/>
          <w:color w:val="000000"/>
          <w:kern w:val="0"/>
          <w:lang w:val="id-ID"/>
          <w14:ligatures w14:val="none"/>
        </w:rPr>
        <w:t>“</w:t>
      </w:r>
      <w:r w:rsidR="00F45F6E">
        <w:rPr>
          <w:rFonts w:eastAsia="Times New Roman" w:cstheme="minorHAnsi"/>
          <w:color w:val="000000"/>
          <w:kern w:val="0"/>
          <w:lang w:val="id-ID"/>
          <w14:ligatures w14:val="none"/>
        </w:rPr>
        <w:t xml:space="preserve">Simpanan masyarakat yang tumbuh tertinggi dalam lima tahun terakhir itu membuka peluang bagi perbankan untuk menyalurkan kredit dengan suku bunga lebih rendah. Dengan begitu, </w:t>
      </w:r>
      <w:r w:rsidRPr="007D4AC5">
        <w:rPr>
          <w:rFonts w:eastAsia="Times New Roman" w:cstheme="minorHAnsi"/>
          <w:color w:val="000000"/>
          <w:kern w:val="0"/>
          <w:lang w:val="id-ID"/>
          <w14:ligatures w14:val="none"/>
        </w:rPr>
        <w:t>roda ekonomi dapat berjalan lebih cepa</w:t>
      </w:r>
      <w:r w:rsidR="00F45F6E">
        <w:rPr>
          <w:rFonts w:eastAsia="Times New Roman" w:cstheme="minorHAnsi"/>
          <w:color w:val="000000"/>
          <w:kern w:val="0"/>
          <w:lang w:val="id-ID"/>
          <w14:ligatures w14:val="none"/>
        </w:rPr>
        <w:t>t</w:t>
      </w:r>
      <w:r w:rsidRPr="007D4AC5">
        <w:rPr>
          <w:rFonts w:eastAsia="Times New Roman" w:cstheme="minorHAnsi"/>
          <w:color w:val="000000"/>
          <w:kern w:val="0"/>
          <w:lang w:val="id-ID"/>
          <w14:ligatures w14:val="none"/>
        </w:rPr>
        <w:t>,” ujar</w:t>
      </w:r>
      <w:r w:rsidR="00F45F6E">
        <w:rPr>
          <w:rFonts w:eastAsia="Times New Roman" w:cstheme="minorHAnsi"/>
          <w:color w:val="000000"/>
          <w:kern w:val="0"/>
          <w:lang w:val="id-ID"/>
          <w14:ligatures w14:val="none"/>
        </w:rPr>
        <w:t>nya.</w:t>
      </w:r>
    </w:p>
    <w:p w14:paraId="14C4DB8F" w14:textId="77777777" w:rsidR="00D84E9E" w:rsidRPr="007D4AC5" w:rsidRDefault="00D84E9E" w:rsidP="00D84E9E">
      <w:pPr>
        <w:spacing w:before="360" w:after="80" w:line="240" w:lineRule="auto"/>
        <w:outlineLvl w:val="1"/>
        <w:rPr>
          <w:rFonts w:eastAsia="Times New Roman" w:cstheme="minorHAnsi"/>
          <w:b/>
          <w:bCs/>
          <w:kern w:val="0"/>
          <w:lang w:val="id-ID"/>
          <w14:ligatures w14:val="none"/>
        </w:rPr>
      </w:pPr>
      <w:r w:rsidRPr="007D4AC5">
        <w:rPr>
          <w:rFonts w:eastAsia="Times New Roman" w:cstheme="minorHAnsi"/>
          <w:b/>
          <w:bCs/>
          <w:color w:val="000000"/>
          <w:kern w:val="0"/>
          <w:lang w:val="id-ID"/>
          <w14:ligatures w14:val="none"/>
        </w:rPr>
        <w:t>BCA Penguasa Tabungan Ritel</w:t>
      </w:r>
    </w:p>
    <w:p w14:paraId="5F27C1CF" w14:textId="6EB84687" w:rsidR="00D84E9E" w:rsidRPr="007D4AC5" w:rsidRDefault="00D84E9E" w:rsidP="00D84E9E">
      <w:pPr>
        <w:spacing w:before="240" w:after="240" w:line="240" w:lineRule="auto"/>
        <w:rPr>
          <w:rFonts w:eastAsia="Times New Roman" w:cstheme="minorHAnsi"/>
          <w:color w:val="000000"/>
          <w:kern w:val="0"/>
          <w:lang w:val="id-ID"/>
          <w14:ligatures w14:val="none"/>
        </w:rPr>
      </w:pPr>
      <w:r w:rsidRPr="007D4AC5">
        <w:rPr>
          <w:rFonts w:eastAsia="Times New Roman" w:cstheme="minorHAnsi"/>
          <w:color w:val="000000"/>
          <w:kern w:val="0"/>
          <w:lang w:val="id-ID"/>
          <w14:ligatures w14:val="none"/>
        </w:rPr>
        <w:t xml:space="preserve">Bank Central Asia (BCA) tercatat sebagai bank dengan nilai tabungan terbesar. Berdasarkan laporan triwulanan OJK per Juni 2025, nilai tabungan yang dihimpun </w:t>
      </w:r>
      <w:r w:rsidR="00F45F6E">
        <w:rPr>
          <w:rFonts w:eastAsia="Times New Roman" w:cstheme="minorHAnsi"/>
          <w:color w:val="000000"/>
          <w:kern w:val="0"/>
          <w:lang w:val="id-ID"/>
          <w14:ligatures w14:val="none"/>
        </w:rPr>
        <w:t>bank tersebut</w:t>
      </w:r>
      <w:r w:rsidRPr="007D4AC5">
        <w:rPr>
          <w:rFonts w:eastAsia="Times New Roman" w:cstheme="minorHAnsi"/>
          <w:color w:val="000000"/>
          <w:kern w:val="0"/>
          <w:lang w:val="id-ID"/>
          <w14:ligatures w14:val="none"/>
        </w:rPr>
        <w:t xml:space="preserve"> mencapai Rp587,5 triliun.</w:t>
      </w:r>
    </w:p>
    <w:p w14:paraId="1342F945" w14:textId="5A48724A" w:rsidR="00D84E9E" w:rsidRPr="007D4AC5" w:rsidRDefault="00D84E9E" w:rsidP="00D84E9E">
      <w:pPr>
        <w:spacing w:before="240" w:after="240" w:line="240" w:lineRule="auto"/>
        <w:rPr>
          <w:rFonts w:eastAsia="Times New Roman" w:cstheme="minorHAnsi"/>
          <w:color w:val="000000"/>
          <w:kern w:val="0"/>
          <w:lang w:val="id-ID"/>
          <w14:ligatures w14:val="none"/>
        </w:rPr>
      </w:pPr>
      <w:r w:rsidRPr="007D4AC5">
        <w:rPr>
          <w:rFonts w:eastAsia="Times New Roman" w:cstheme="minorHAnsi"/>
          <w:color w:val="000000"/>
          <w:kern w:val="0"/>
          <w:lang w:val="id-ID"/>
          <w14:ligatures w14:val="none"/>
        </w:rPr>
        <w:t xml:space="preserve">Capaian </w:t>
      </w:r>
      <w:r w:rsidR="00F45F6E">
        <w:rPr>
          <w:rFonts w:eastAsia="Times New Roman" w:cstheme="minorHAnsi"/>
          <w:color w:val="000000"/>
          <w:kern w:val="0"/>
          <w:lang w:val="id-ID"/>
          <w14:ligatures w14:val="none"/>
        </w:rPr>
        <w:t>tersebut</w:t>
      </w:r>
      <w:r w:rsidRPr="007D4AC5">
        <w:rPr>
          <w:rFonts w:eastAsia="Times New Roman" w:cstheme="minorHAnsi"/>
          <w:color w:val="000000"/>
          <w:kern w:val="0"/>
          <w:lang w:val="id-ID"/>
          <w14:ligatures w14:val="none"/>
        </w:rPr>
        <w:t xml:space="preserve"> melampaui bank-bank pelat merah: </w:t>
      </w:r>
      <w:r w:rsidRPr="007D4AC5">
        <w:rPr>
          <w:rFonts w:eastAsia="Times New Roman" w:cstheme="minorHAnsi"/>
          <w:color w:val="0A0A0A"/>
          <w:kern w:val="0"/>
          <w:shd w:val="clear" w:color="auto" w:fill="FFFFFF"/>
          <w:lang w:val="id-ID"/>
          <w14:ligatures w14:val="none"/>
        </w:rPr>
        <w:t>Bank Rakyat Indonesia (</w:t>
      </w:r>
      <w:r w:rsidRPr="007D4AC5">
        <w:rPr>
          <w:rFonts w:eastAsia="Times New Roman" w:cstheme="minorHAnsi"/>
          <w:color w:val="000000"/>
          <w:kern w:val="0"/>
          <w:lang w:val="id-ID"/>
          <w14:ligatures w14:val="none"/>
        </w:rPr>
        <w:t>BRI) menghimpun Rp554,7 triliun, Bank Mandiri Rp529,6 triliun, dan Bank Negara Indonesia (BNI) Rp265,1 triliun.</w:t>
      </w:r>
    </w:p>
    <w:p w14:paraId="0B618218" w14:textId="77777777" w:rsidR="00D84E9E" w:rsidRPr="007D4AC5" w:rsidRDefault="00D84E9E" w:rsidP="00D84E9E">
      <w:pPr>
        <w:spacing w:before="240" w:after="240" w:line="240" w:lineRule="auto"/>
        <w:rPr>
          <w:rFonts w:eastAsia="Times New Roman" w:cstheme="minorHAnsi"/>
          <w:color w:val="000000"/>
          <w:kern w:val="0"/>
          <w:lang w:val="id-ID"/>
          <w14:ligatures w14:val="none"/>
        </w:rPr>
      </w:pPr>
      <w:r w:rsidRPr="007D4AC5">
        <w:rPr>
          <w:rFonts w:eastAsia="Times New Roman" w:cstheme="minorHAnsi"/>
          <w:color w:val="000000"/>
          <w:kern w:val="0"/>
          <w:lang w:val="id-ID"/>
          <w14:ligatures w14:val="none"/>
        </w:rPr>
        <w:t xml:space="preserve">Inovasi teknologi yang dikembangkan BCA memang terbukti mendukung kemudahan bagi masyarakat untuk melakukan transaksi melalui layanan digital.  Produk tabungan Tahapan BCA, misalnya, didukung fasilitas </w:t>
      </w:r>
      <w:r w:rsidRPr="007D4AC5">
        <w:rPr>
          <w:rFonts w:eastAsia="Times New Roman" w:cstheme="minorHAnsi"/>
          <w:i/>
          <w:iCs/>
          <w:color w:val="000000"/>
          <w:kern w:val="0"/>
          <w:lang w:val="id-ID"/>
          <w14:ligatures w14:val="none"/>
        </w:rPr>
        <w:t xml:space="preserve">autodebet </w:t>
      </w:r>
      <w:r w:rsidRPr="007D4AC5">
        <w:rPr>
          <w:rFonts w:eastAsia="Times New Roman" w:cstheme="minorHAnsi"/>
          <w:color w:val="000000"/>
          <w:kern w:val="0"/>
          <w:lang w:val="id-ID"/>
          <w14:ligatures w14:val="none"/>
        </w:rPr>
        <w:t xml:space="preserve">untuk layanan pembayaran digital, kemudahan transfer antarrekening maupun antarbank, transfer ke akun virtual atau ke platform komersial hingga kemudahan pembukaan rekening secara </w:t>
      </w:r>
      <w:r w:rsidRPr="007D4AC5">
        <w:rPr>
          <w:rFonts w:eastAsia="Times New Roman" w:cstheme="minorHAnsi"/>
          <w:i/>
          <w:iCs/>
          <w:color w:val="000000"/>
          <w:kern w:val="0"/>
          <w:lang w:val="id-ID"/>
          <w14:ligatures w14:val="none"/>
        </w:rPr>
        <w:t>online.</w:t>
      </w:r>
      <w:r w:rsidRPr="007D4AC5">
        <w:rPr>
          <w:rFonts w:eastAsia="Times New Roman" w:cstheme="minorHAnsi"/>
          <w:color w:val="000000"/>
          <w:kern w:val="0"/>
          <w:lang w:val="id-ID"/>
          <w14:ligatures w14:val="none"/>
        </w:rPr>
        <w:t xml:space="preserve"> </w:t>
      </w:r>
    </w:p>
    <w:p w14:paraId="36C884C6" w14:textId="28556357" w:rsidR="00D84E9E" w:rsidRPr="007D4AC5" w:rsidRDefault="00D84E9E" w:rsidP="00D84E9E">
      <w:pPr>
        <w:spacing w:before="240" w:after="240" w:line="240" w:lineRule="auto"/>
        <w:rPr>
          <w:rFonts w:eastAsia="Times New Roman" w:cstheme="minorHAnsi"/>
          <w:color w:val="000000"/>
          <w:kern w:val="0"/>
          <w:lang w:val="id-ID"/>
          <w14:ligatures w14:val="none"/>
        </w:rPr>
      </w:pPr>
      <w:r w:rsidRPr="007D4AC5">
        <w:rPr>
          <w:rFonts w:eastAsia="Times New Roman" w:cstheme="minorHAnsi"/>
          <w:color w:val="000000"/>
          <w:kern w:val="0"/>
          <w:lang w:val="id-ID"/>
          <w14:ligatures w14:val="none"/>
        </w:rPr>
        <w:lastRenderedPageBreak/>
        <w:t xml:space="preserve">Bahkan ketika bank-bank lain sudah makin canggih mengembangkan layanan digital melalui aplikasi di gadget, BCA enggan menghapus layanan </w:t>
      </w:r>
      <w:r w:rsidRPr="00F45F6E">
        <w:rPr>
          <w:rFonts w:eastAsia="Times New Roman" w:cstheme="minorHAnsi"/>
          <w:i/>
          <w:iCs/>
          <w:color w:val="000000"/>
          <w:kern w:val="0"/>
          <w:lang w:val="id-ID"/>
          <w14:ligatures w14:val="none"/>
        </w:rPr>
        <w:t>mobile banking</w:t>
      </w:r>
      <w:r w:rsidRPr="007D4AC5">
        <w:rPr>
          <w:rFonts w:eastAsia="Times New Roman" w:cstheme="minorHAnsi"/>
          <w:color w:val="000000"/>
          <w:kern w:val="0"/>
          <w:lang w:val="id-ID"/>
          <w14:ligatures w14:val="none"/>
        </w:rPr>
        <w:t xml:space="preserve"> untuk mengakomodasi nasabahnya yang sudah terlanjur loyal dan tak membutuhkan fitur yang canggih karena </w:t>
      </w:r>
      <w:r w:rsidRPr="00F45F6E">
        <w:rPr>
          <w:rFonts w:eastAsia="Times New Roman" w:cstheme="minorHAnsi"/>
          <w:i/>
          <w:iCs/>
          <w:color w:val="000000"/>
          <w:kern w:val="0"/>
          <w:lang w:val="id-ID"/>
          <w14:ligatures w14:val="none"/>
        </w:rPr>
        <w:t>mobile banking</w:t>
      </w:r>
      <w:r w:rsidRPr="007D4AC5">
        <w:rPr>
          <w:rFonts w:eastAsia="Times New Roman" w:cstheme="minorHAnsi"/>
          <w:color w:val="000000"/>
          <w:kern w:val="0"/>
          <w:lang w:val="id-ID"/>
          <w14:ligatures w14:val="none"/>
        </w:rPr>
        <w:t xml:space="preserve"> dirasa sudah cukup memenuhi kebutuhan. Walau demikian, BCA tetap memiliki aplikasi myBCA untuk nasabah yang menginginkan fitur canggih sambil tetap mempertahankan KlikBCA dan m-BCA. </w:t>
      </w:r>
    </w:p>
    <w:p w14:paraId="459A604B"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 xml:space="preserve">“Pertumbuhan dana tabungan BCA mencerminkan dinamika perilaku masyarakat yang semakin selektif memilih bank dengan layanan digital paling stabil. Hal ini tidak hanya dipengaruhi oleh loyalitas, namun harus ditunjang oleh teknologi yang </w:t>
      </w:r>
      <w:r w:rsidRPr="007D4AC5">
        <w:rPr>
          <w:rFonts w:eastAsia="Times New Roman" w:cstheme="minorHAnsi"/>
          <w:i/>
          <w:iCs/>
          <w:color w:val="000000"/>
          <w:kern w:val="0"/>
          <w:lang w:val="id-ID"/>
          <w14:ligatures w14:val="none"/>
        </w:rPr>
        <w:t>reliable</w:t>
      </w:r>
      <w:r w:rsidRPr="007D4AC5">
        <w:rPr>
          <w:rFonts w:eastAsia="Times New Roman" w:cstheme="minorHAnsi"/>
          <w:color w:val="000000"/>
          <w:kern w:val="0"/>
          <w:lang w:val="id-ID"/>
          <w14:ligatures w14:val="none"/>
        </w:rPr>
        <w:t xml:space="preserve"> sehingga nasabah merasa transaksi menjadi mudah tapi tetap aman,” ujar Christiantoko.</w:t>
      </w:r>
    </w:p>
    <w:p w14:paraId="4E6CF835"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b/>
          <w:bCs/>
          <w:color w:val="000000"/>
          <w:kern w:val="0"/>
          <w:lang w:val="id-ID"/>
          <w14:ligatures w14:val="none"/>
        </w:rPr>
        <w:t>BRI Raja Deposito Berjangka</w:t>
      </w:r>
    </w:p>
    <w:p w14:paraId="457AF6B9"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Jika BCA unggul di tabungan, BRI tetap tak tertandingi di instrumen simpanan jangka panjang. BRI menjadi raja deposito berjangka nasional dengan nilai mencapai Rp506,1 triliun per Juni 2025. </w:t>
      </w:r>
    </w:p>
    <w:p w14:paraId="1957FF83"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Dominasi BRI di deposito jauh meninggalkan bank-bank pesaing lainnya yang masuk KBMI 4. Bank Mandiri berada di posisi kedua dengan Rp314,8 triliun, BNI Rp243,8 triliun, dan BCA Rp192,9 triliun.</w:t>
      </w:r>
    </w:p>
    <w:p w14:paraId="5FF1F212"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Kekuatan BRI ini didukung oleh basis nasabah yang luas dan loyal, termasuk segmen pensiunan, ASN, dan UMKM, serta strategi penghimpunan dana yang didukung jaringan masif Agen BRILink dan produk deposito fleksibel berbasis digital (</w:t>
      </w:r>
      <w:r w:rsidRPr="007D4AC5">
        <w:rPr>
          <w:rFonts w:eastAsia="Times New Roman" w:cstheme="minorHAnsi"/>
          <w:i/>
          <w:iCs/>
          <w:color w:val="000000"/>
          <w:kern w:val="0"/>
          <w:lang w:val="id-ID"/>
          <w14:ligatures w14:val="none"/>
        </w:rPr>
        <w:t>e-deposito</w:t>
      </w:r>
      <w:r w:rsidRPr="007D4AC5">
        <w:rPr>
          <w:rFonts w:eastAsia="Times New Roman" w:cstheme="minorHAnsi"/>
          <w:color w:val="000000"/>
          <w:kern w:val="0"/>
          <w:lang w:val="id-ID"/>
          <w14:ligatures w14:val="none"/>
        </w:rPr>
        <w:t>).</w:t>
      </w:r>
    </w:p>
    <w:p w14:paraId="5FE08031"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“Kekuatan BRI dalam menghimpun dana jangka panjang memberi ruang lebih besar untuk ekspansi kredit dan menjaga likuiditas. Namun, struktur pasar yang sangat terkonsentrasi juga menuntut pengawasan yang kuat agar risiko likuiditas dan stabilitas sistem tetap terkendali,” ungkap Christiantoko.</w:t>
      </w:r>
    </w:p>
    <w:p w14:paraId="42A2C7F8"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b/>
          <w:bCs/>
          <w:color w:val="000000"/>
          <w:kern w:val="0"/>
          <w:lang w:val="id-ID"/>
          <w14:ligatures w14:val="none"/>
        </w:rPr>
        <w:t>Bank Mandiri Dominasi Dana Giro</w:t>
      </w:r>
    </w:p>
    <w:p w14:paraId="79DE4BB5"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Sementara Bank Mandiri merupakan pemimpin pasar dalam penghimpunan dana giro. Pada Juni 2025, volume giro yang dikelola Mandiri tercatat mencapai Rp615,5 triliun. Tak heran, selama ini Mandiri memang berkonsentrasi untuk menyasar nasabah korporat yang lebih banyak menggunakan giro dalam bertransaksi.</w:t>
      </w:r>
    </w:p>
    <w:p w14:paraId="600B5E0E" w14:textId="77777777" w:rsidR="00D84E9E" w:rsidRPr="007D4AC5" w:rsidRDefault="00D84E9E" w:rsidP="00D84E9E">
      <w:pPr>
        <w:spacing w:before="240" w:after="240" w:line="240" w:lineRule="auto"/>
        <w:rPr>
          <w:rFonts w:eastAsia="Times New Roman" w:cstheme="minorHAnsi"/>
          <w:color w:val="000000"/>
          <w:kern w:val="0"/>
          <w:lang w:val="id-ID"/>
          <w14:ligatures w14:val="none"/>
        </w:rPr>
      </w:pPr>
      <w:r w:rsidRPr="007D4AC5">
        <w:rPr>
          <w:rFonts w:eastAsia="Times New Roman" w:cstheme="minorHAnsi"/>
          <w:color w:val="000000"/>
          <w:kern w:val="0"/>
          <w:lang w:val="id-ID"/>
          <w14:ligatures w14:val="none"/>
        </w:rPr>
        <w:t>BRI berada di posisi kedua dengan nilai giro Rp415,3 triliun. BCA menyusul dengan Rp382,5 triliun, sementara BNI mencatat Rp376,8 triliun. Struktur ini memperlihatkan jarak yang cukup lebar antara Mandiri dan para pesaing terdekat, terutama dalam kemampuan menarik transaksi korporasi dan institusi.</w:t>
      </w:r>
    </w:p>
    <w:p w14:paraId="2F24304E" w14:textId="77777777" w:rsidR="00D84E9E" w:rsidRPr="007D4AC5" w:rsidRDefault="00D84E9E" w:rsidP="00D84E9E">
      <w:pPr>
        <w:spacing w:before="240" w:after="240" w:line="240" w:lineRule="auto"/>
        <w:rPr>
          <w:rFonts w:eastAsia="Times New Roman" w:cstheme="minorHAnsi"/>
          <w:kern w:val="0"/>
          <w:lang w:val="id-ID"/>
          <w14:ligatures w14:val="none"/>
        </w:rPr>
      </w:pPr>
      <w:r w:rsidRPr="007D4AC5">
        <w:rPr>
          <w:rFonts w:eastAsia="Times New Roman" w:cstheme="minorHAnsi"/>
          <w:color w:val="000000"/>
          <w:kern w:val="0"/>
          <w:lang w:val="id-ID"/>
          <w14:ligatures w14:val="none"/>
        </w:rPr>
        <w:t>Dominasi Mandiri di giro, BRI di deposito, dan BCA di tabungan menunjukkan bagaimana masing-masing bank besar menguasai segmen utamanya. Peta ini sekaligus mencerminkan struktur DPK nasional yang semakin terpusat dan menjadi indikator penting bagi stabilitas sistem keuangan.</w:t>
      </w:r>
    </w:p>
    <w:p w14:paraId="21B39F7F" w14:textId="4148D0CC" w:rsidR="00D84E9E" w:rsidRPr="007D4AC5" w:rsidRDefault="00D84E9E" w:rsidP="00D84E9E">
      <w:pPr>
        <w:spacing w:after="0" w:line="240" w:lineRule="auto"/>
        <w:rPr>
          <w:rFonts w:eastAsia="Calibri" w:cstheme="minorHAnsi"/>
          <w:lang w:val="id-ID"/>
        </w:rPr>
      </w:pPr>
    </w:p>
    <w:p w14:paraId="217EEF4A" w14:textId="1DAEA0CF" w:rsidR="00D84E9E" w:rsidRPr="007D4AC5" w:rsidRDefault="00D84E9E" w:rsidP="00D84E9E">
      <w:pPr>
        <w:spacing w:after="0" w:line="240" w:lineRule="auto"/>
        <w:rPr>
          <w:rFonts w:eastAsia="Calibri" w:cstheme="minorHAnsi"/>
          <w:lang w:val="id-ID"/>
        </w:rPr>
      </w:pPr>
    </w:p>
    <w:p w14:paraId="4F5BDE25" w14:textId="12660D15" w:rsidR="00D84E9E" w:rsidRPr="007D4AC5" w:rsidRDefault="00D84E9E" w:rsidP="00D84E9E">
      <w:pPr>
        <w:spacing w:after="0" w:line="240" w:lineRule="auto"/>
        <w:rPr>
          <w:rFonts w:eastAsia="Calibri" w:cstheme="minorHAnsi"/>
          <w:lang w:val="id-ID"/>
        </w:rPr>
      </w:pPr>
    </w:p>
    <w:p w14:paraId="701097B9" w14:textId="47997DC8" w:rsidR="00D84E9E" w:rsidRPr="007D4AC5" w:rsidRDefault="00D84E9E" w:rsidP="00D84E9E">
      <w:pPr>
        <w:spacing w:after="0" w:line="240" w:lineRule="auto"/>
        <w:rPr>
          <w:rFonts w:eastAsia="Calibri" w:cstheme="minorHAnsi"/>
          <w:lang w:val="id-ID"/>
        </w:rPr>
      </w:pPr>
    </w:p>
    <w:p w14:paraId="667B38F2" w14:textId="20448D35" w:rsidR="00D84E9E" w:rsidRPr="007D4AC5" w:rsidRDefault="00D84E9E" w:rsidP="00D84E9E">
      <w:pPr>
        <w:spacing w:after="0" w:line="240" w:lineRule="auto"/>
        <w:rPr>
          <w:rFonts w:eastAsia="Calibri" w:cstheme="minorHAnsi"/>
          <w:lang w:val="id-ID"/>
        </w:rPr>
      </w:pPr>
    </w:p>
    <w:p w14:paraId="00E9F64F" w14:textId="77777777" w:rsidR="00D84E9E" w:rsidRPr="007D4AC5" w:rsidRDefault="00D84E9E" w:rsidP="00D84E9E">
      <w:pPr>
        <w:spacing w:after="0" w:line="240" w:lineRule="auto"/>
        <w:rPr>
          <w:rFonts w:eastAsia="Calibri" w:cstheme="minorHAnsi"/>
          <w:lang w:val="id-ID"/>
        </w:rPr>
      </w:pPr>
    </w:p>
    <w:p w14:paraId="02FA7E51" w14:textId="77777777" w:rsidR="00D84E9E" w:rsidRPr="007D4AC5" w:rsidRDefault="00D84E9E" w:rsidP="00D84E9E">
      <w:pPr>
        <w:spacing w:after="80"/>
        <w:rPr>
          <w:rFonts w:cstheme="minorHAnsi"/>
          <w:lang w:val="id-ID"/>
        </w:rPr>
      </w:pPr>
      <w:r w:rsidRPr="007D4AC5">
        <w:rPr>
          <w:rFonts w:cstheme="minorHAnsi"/>
          <w:noProof/>
          <w:lang w:val="id-ID"/>
          <w14:ligatures w14:val="none"/>
        </w:rPr>
        <w:lastRenderedPageBreak/>
        <mc:AlternateContent>
          <mc:Choice Requires="wps">
            <w:drawing>
              <wp:anchor distT="0" distB="0" distL="114300" distR="114300" simplePos="0" relativeHeight="251659264" behindDoc="0" locked="0" layoutInCell="1" allowOverlap="1" wp14:anchorId="27CD599F" wp14:editId="0BF3DFC3">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DFD029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5ECC9F39" w14:textId="77777777" w:rsidR="00D84E9E" w:rsidRPr="007D4AC5" w:rsidRDefault="00D84E9E" w:rsidP="00D84E9E">
      <w:pPr>
        <w:spacing w:after="80"/>
        <w:rPr>
          <w:rFonts w:cstheme="minorHAnsi"/>
          <w:b/>
          <w:bCs/>
          <w:sz w:val="18"/>
          <w:szCs w:val="18"/>
          <w:lang w:val="id-ID"/>
        </w:rPr>
      </w:pPr>
      <w:r w:rsidRPr="007D4AC5">
        <w:rPr>
          <w:rFonts w:cstheme="minorHAnsi"/>
          <w:b/>
          <w:bCs/>
          <w:sz w:val="18"/>
          <w:szCs w:val="18"/>
          <w:lang w:val="id-ID"/>
        </w:rPr>
        <w:t>NEXT Indonesia Center</w:t>
      </w:r>
    </w:p>
    <w:p w14:paraId="6B053795" w14:textId="77777777" w:rsidR="00D84E9E" w:rsidRPr="007D4AC5" w:rsidRDefault="00D84E9E" w:rsidP="00D84E9E">
      <w:pPr>
        <w:spacing w:after="80"/>
        <w:jc w:val="both"/>
        <w:rPr>
          <w:rFonts w:cstheme="minorHAnsi"/>
          <w:sz w:val="18"/>
          <w:szCs w:val="18"/>
          <w:lang w:val="id-ID"/>
        </w:rPr>
      </w:pPr>
      <w:r w:rsidRPr="007D4AC5">
        <w:rPr>
          <w:rFonts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423232DC" w14:textId="77777777" w:rsidR="00D84E9E" w:rsidRPr="007D4AC5" w:rsidRDefault="00D84E9E" w:rsidP="00D84E9E">
      <w:pPr>
        <w:spacing w:after="80"/>
        <w:jc w:val="both"/>
        <w:rPr>
          <w:rFonts w:cstheme="minorHAnsi"/>
          <w:sz w:val="18"/>
          <w:szCs w:val="18"/>
          <w:lang w:val="id-ID"/>
        </w:rPr>
      </w:pPr>
      <w:r w:rsidRPr="007D4AC5">
        <w:rPr>
          <w:rFonts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1AD5F2C6" w14:textId="77777777" w:rsidR="00D84E9E" w:rsidRPr="007D4AC5" w:rsidRDefault="00D84E9E" w:rsidP="00D84E9E">
      <w:pPr>
        <w:spacing w:after="80"/>
        <w:jc w:val="both"/>
        <w:rPr>
          <w:rFonts w:cstheme="minorHAnsi"/>
          <w:sz w:val="18"/>
          <w:szCs w:val="18"/>
          <w:lang w:val="id-ID"/>
        </w:rPr>
      </w:pPr>
    </w:p>
    <w:p w14:paraId="1CCF4909" w14:textId="77777777" w:rsidR="00D84E9E" w:rsidRPr="007D4AC5" w:rsidRDefault="00D84E9E" w:rsidP="00D84E9E">
      <w:pPr>
        <w:spacing w:after="80"/>
        <w:rPr>
          <w:rFonts w:cstheme="minorHAnsi"/>
          <w:b/>
          <w:sz w:val="18"/>
          <w:szCs w:val="18"/>
          <w:lang w:val="id-ID"/>
        </w:rPr>
      </w:pPr>
      <w:r w:rsidRPr="007D4AC5">
        <w:rPr>
          <w:rFonts w:cstheme="minorHAnsi"/>
          <w:b/>
          <w:sz w:val="18"/>
          <w:szCs w:val="18"/>
          <w:lang w:val="id-ID"/>
        </w:rPr>
        <w:t>Narahubung:</w:t>
      </w:r>
    </w:p>
    <w:p w14:paraId="57318D19" w14:textId="77777777" w:rsidR="00D84E9E" w:rsidRPr="007D4AC5" w:rsidRDefault="00D84E9E" w:rsidP="00D84E9E">
      <w:pPr>
        <w:spacing w:after="80"/>
        <w:rPr>
          <w:rFonts w:cstheme="minorHAnsi"/>
          <w:sz w:val="18"/>
          <w:szCs w:val="18"/>
          <w:lang w:val="id-ID"/>
        </w:rPr>
      </w:pPr>
      <w:r w:rsidRPr="007D4AC5">
        <w:rPr>
          <w:rFonts w:cstheme="minorHAnsi"/>
          <w:sz w:val="18"/>
          <w:szCs w:val="18"/>
          <w:lang w:val="id-ID"/>
        </w:rPr>
        <w:t>Research Coordinator Next Indonesia Center,</w:t>
      </w:r>
    </w:p>
    <w:p w14:paraId="22FEE614" w14:textId="77777777" w:rsidR="00D84E9E" w:rsidRPr="007D4AC5" w:rsidRDefault="00D84E9E" w:rsidP="00D84E9E">
      <w:pPr>
        <w:spacing w:after="80"/>
        <w:rPr>
          <w:rFonts w:cstheme="minorHAnsi"/>
          <w:sz w:val="18"/>
          <w:szCs w:val="18"/>
          <w:lang w:val="id-ID"/>
        </w:rPr>
      </w:pPr>
      <w:r w:rsidRPr="007D4AC5">
        <w:rPr>
          <w:rFonts w:cstheme="minorHAnsi"/>
          <w:sz w:val="18"/>
          <w:szCs w:val="18"/>
          <w:lang w:val="id-ID"/>
        </w:rPr>
        <w:t xml:space="preserve">Phone: </w:t>
      </w:r>
      <w:hyperlink r:id="rId6" w:history="1">
        <w:r w:rsidRPr="007D4AC5">
          <w:rPr>
            <w:rStyle w:val="Hyperlink"/>
            <w:rFonts w:cstheme="minorHAnsi"/>
            <w:sz w:val="18"/>
            <w:szCs w:val="18"/>
            <w:lang w:val="id-ID"/>
          </w:rPr>
          <w:t>+62 823-1016-5120</w:t>
        </w:r>
      </w:hyperlink>
    </w:p>
    <w:p w14:paraId="58C5B97C" w14:textId="77777777" w:rsidR="006B02D2" w:rsidRPr="007D4AC5" w:rsidRDefault="006B02D2">
      <w:pPr>
        <w:rPr>
          <w:lang w:val="id-ID"/>
        </w:rPr>
      </w:pPr>
    </w:p>
    <w:sectPr w:rsidR="006B02D2" w:rsidRPr="007D4AC5" w:rsidSect="00F411C8">
      <w:headerReference w:type="default" r:id="rId7"/>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34931" w14:textId="77777777" w:rsidR="006B21BE" w:rsidRDefault="006B21BE">
      <w:pPr>
        <w:spacing w:after="0" w:line="240" w:lineRule="auto"/>
      </w:pPr>
      <w:r>
        <w:separator/>
      </w:r>
    </w:p>
  </w:endnote>
  <w:endnote w:type="continuationSeparator" w:id="0">
    <w:p w14:paraId="0DE29C15" w14:textId="77777777" w:rsidR="006B21BE" w:rsidRDefault="006B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54131" w14:textId="77777777" w:rsidR="006B21BE" w:rsidRDefault="006B21BE">
      <w:pPr>
        <w:spacing w:after="0" w:line="240" w:lineRule="auto"/>
      </w:pPr>
      <w:r>
        <w:separator/>
      </w:r>
    </w:p>
  </w:footnote>
  <w:footnote w:type="continuationSeparator" w:id="0">
    <w:p w14:paraId="15912146" w14:textId="77777777" w:rsidR="006B21BE" w:rsidRDefault="006B2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BFBC1" w14:textId="77777777" w:rsidR="00E4431D" w:rsidRPr="00562DDA" w:rsidRDefault="00D84E9E" w:rsidP="00562DDA">
    <w:pPr>
      <w:pStyle w:val="Header"/>
      <w:jc w:val="right"/>
      <w:rPr>
        <w:b/>
        <w:bCs/>
        <w:sz w:val="18"/>
        <w:szCs w:val="18"/>
      </w:rPr>
    </w:pPr>
    <w:r>
      <w:rPr>
        <w:noProof/>
      </w:rPr>
      <w:drawing>
        <wp:anchor distT="0" distB="0" distL="114300" distR="114300" simplePos="0" relativeHeight="251659264" behindDoc="0" locked="0" layoutInCell="1" allowOverlap="1" wp14:anchorId="7D17EE14" wp14:editId="1A156177">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562DDA">
      <w:rPr>
        <w:b/>
        <w:bCs/>
        <w:sz w:val="18"/>
        <w:szCs w:val="18"/>
      </w:rPr>
      <w:t>Siaran Pers</w:t>
    </w:r>
  </w:p>
  <w:p w14:paraId="0355F2A2" w14:textId="77777777" w:rsidR="00E4431D" w:rsidRPr="00562DDA" w:rsidRDefault="00D84E9E" w:rsidP="00562DDA">
    <w:pPr>
      <w:pStyle w:val="Header"/>
      <w:jc w:val="right"/>
      <w:rPr>
        <w:sz w:val="18"/>
        <w:szCs w:val="18"/>
      </w:rPr>
    </w:pPr>
    <w:r w:rsidRPr="00562DDA">
      <w:rPr>
        <w:sz w:val="18"/>
        <w:szCs w:val="18"/>
      </w:rPr>
      <w:t>Untuk Segera Disiarkan</w:t>
    </w:r>
  </w:p>
  <w:p w14:paraId="1349EA53" w14:textId="77777777" w:rsidR="00E4431D" w:rsidRDefault="00D84E9E" w:rsidP="00562DDA">
    <w:pPr>
      <w:pStyle w:val="Header"/>
      <w:jc w:val="right"/>
    </w:pPr>
    <w:r>
      <w:rPr>
        <w:sz w:val="18"/>
        <w:szCs w:val="18"/>
      </w:rPr>
      <w:t>Minggu,</w:t>
    </w:r>
    <w:r w:rsidRPr="00562DDA">
      <w:rPr>
        <w:sz w:val="18"/>
        <w:szCs w:val="18"/>
      </w:rPr>
      <w:t xml:space="preserve"> </w:t>
    </w:r>
    <w:r>
      <w:rPr>
        <w:sz w:val="18"/>
        <w:szCs w:val="18"/>
      </w:rPr>
      <w:t>14 Desember</w:t>
    </w:r>
    <w:r w:rsidRPr="00562DDA">
      <w:rPr>
        <w:sz w:val="18"/>
        <w:szCs w:val="18"/>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9E"/>
    <w:rsid w:val="00152E12"/>
    <w:rsid w:val="006B02D2"/>
    <w:rsid w:val="006B21BE"/>
    <w:rsid w:val="007D4AC5"/>
    <w:rsid w:val="00815815"/>
    <w:rsid w:val="008860E3"/>
    <w:rsid w:val="00C77403"/>
    <w:rsid w:val="00D84E9E"/>
    <w:rsid w:val="00E4431D"/>
    <w:rsid w:val="00F45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80DFB9B"/>
  <w15:chartTrackingRefBased/>
  <w15:docId w15:val="{BC3B77A2-CCD5-E746-8AA1-F9133F9F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E9E"/>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9E"/>
    <w:rPr>
      <w:kern w:val="2"/>
      <w:sz w:val="22"/>
      <w:szCs w:val="22"/>
      <w:lang w:val="en-US"/>
      <w14:ligatures w14:val="standardContextual"/>
    </w:rPr>
  </w:style>
  <w:style w:type="character" w:styleId="Hyperlink">
    <w:name w:val="Hyperlink"/>
    <w:basedOn w:val="DefaultParagraphFont"/>
    <w:uiPriority w:val="99"/>
    <w:unhideWhenUsed/>
    <w:rsid w:val="00D84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5263</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2025-12-13T17:03:00Z</dcterms:created>
  <dcterms:modified xsi:type="dcterms:W3CDTF">2025-12-13T17:03:00Z</dcterms:modified>
</cp:coreProperties>
</file>