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FB0BD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</w:p>
    <w:p w14:paraId="2C9C2006" w14:textId="7C6C433F" w:rsidR="001C1FCA" w:rsidRDefault="001C1FCA" w:rsidP="001C1FCA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 w:rsidRPr="001C1FCA">
        <w:rPr>
          <w:b/>
          <w:bCs/>
          <w:sz w:val="28"/>
          <w:szCs w:val="28"/>
          <w:lang w:val="id-ID"/>
        </w:rPr>
        <w:t>Momentum Peningkatan Tata Kelola Ekspor Emas</w:t>
      </w:r>
    </w:p>
    <w:p w14:paraId="605CD38D" w14:textId="77777777" w:rsidR="001C1FCA" w:rsidRPr="001C1FCA" w:rsidRDefault="001C1FCA" w:rsidP="001C1FCA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</w:p>
    <w:p w14:paraId="7C854617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JAKARTA – Rencana pemerintah memberlakukan bea keluar </w:t>
      </w:r>
      <w:r>
        <w:rPr>
          <w:lang w:val="id-ID"/>
        </w:rPr>
        <w:t>terhadap</w:t>
      </w:r>
      <w:r w:rsidRPr="00AC0E78">
        <w:rPr>
          <w:lang w:val="id-ID"/>
        </w:rPr>
        <w:t xml:space="preserve"> ekspor komoditas emas harus diiringi </w:t>
      </w:r>
      <w:r>
        <w:rPr>
          <w:lang w:val="id-ID"/>
        </w:rPr>
        <w:t>dengan</w:t>
      </w:r>
      <w:r w:rsidRPr="00AC0E78">
        <w:rPr>
          <w:lang w:val="id-ID"/>
        </w:rPr>
        <w:t xml:space="preserve"> perbaikan tata kelola ekspor, sehingga nilai manfaat yang diperoleh lebih maksimal. Dengan demikian, </w:t>
      </w:r>
      <w:r>
        <w:rPr>
          <w:lang w:val="id-ID"/>
        </w:rPr>
        <w:t xml:space="preserve">pemerintah </w:t>
      </w:r>
      <w:r w:rsidRPr="00AC0E78">
        <w:rPr>
          <w:lang w:val="id-ID"/>
        </w:rPr>
        <w:t>tidak hanya dapat bonus penerimaan negara, tetapi juga menjaga stabilitas pasokan di dalam negeri.</w:t>
      </w:r>
    </w:p>
    <w:p w14:paraId="1FDEDE3D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Sebelumnya, Kementerian Keuangan mengungkapkan bakal menerapkan bea keluar pada kegiatan ekspor emas mulai tahun 2026. Tarif yang dikenakan beragam, yakni 7,5-15%. Semakin banyak proses pengolahan yang dilakukan, maka tarifnya makin </w:t>
      </w:r>
      <w:r>
        <w:rPr>
          <w:lang w:val="id-ID"/>
        </w:rPr>
        <w:t>rendah</w:t>
      </w:r>
      <w:r w:rsidRPr="00AC0E78">
        <w:rPr>
          <w:lang w:val="id-ID"/>
        </w:rPr>
        <w:t>. Bahkan untuk yang sudah jadi perhiasan, justru tidak dikenakan bea.</w:t>
      </w:r>
    </w:p>
    <w:p w14:paraId="440083A1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Direktur Eksekutif NEXT Indonesia Center </w:t>
      </w:r>
      <w:proofErr w:type="spellStart"/>
      <w:r w:rsidRPr="00AC0E78">
        <w:rPr>
          <w:lang w:val="id-ID"/>
        </w:rPr>
        <w:t>Christiantoko</w:t>
      </w:r>
      <w:proofErr w:type="spellEnd"/>
      <w:r w:rsidRPr="00AC0E78">
        <w:rPr>
          <w:lang w:val="id-ID"/>
        </w:rPr>
        <w:t xml:space="preserve"> mengingatkan, kalau pemerintah ingin mendapatkan penerimaan maksimal dari perdagangan ekspor emas, tata kelolanya juga perlu diperbaiki. Selama ini, katanya, banyak ekspor yang diduga bocor.</w:t>
      </w:r>
    </w:p>
    <w:p w14:paraId="62C69D8A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Dari hasil kajian NEXT Indonesia Center, lanjutnya, saat ini ada lima mitra dagang utama Indonesia dalam ekspor emas dengan kode HS 7108. Dalam 10 tahun terakhir, yakni 2015-2024, jika dilihat dari nilai kumulatif ekspor maka Singapura ada di urutan teratas dengan total ekspor US$7,1 miliar. Selanjutnya diikuti oleh Swiss (US$2,7 miliar), </w:t>
      </w:r>
      <w:proofErr w:type="spellStart"/>
      <w:r w:rsidRPr="00AC0E78">
        <w:rPr>
          <w:lang w:val="id-ID"/>
        </w:rPr>
        <w:t>Hong</w:t>
      </w:r>
      <w:proofErr w:type="spellEnd"/>
      <w:r w:rsidRPr="00AC0E78">
        <w:rPr>
          <w:lang w:val="id-ID"/>
        </w:rPr>
        <w:t xml:space="preserve"> Kong (US$2,6 miliar), Australia (US$591 juta), dan Thailand (US$374 juta).</w:t>
      </w:r>
    </w:p>
    <w:p w14:paraId="7896A01B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“Dari transaksi ekspor dengan negara-negara tersebut, Indonesia kehilangan potensi pendapatan yang besar akibat adanya </w:t>
      </w:r>
      <w:proofErr w:type="spellStart"/>
      <w:r w:rsidRPr="00AC0E78">
        <w:rPr>
          <w:i/>
          <w:iCs/>
          <w:lang w:val="id-ID"/>
        </w:rPr>
        <w:t>misinvoicing</w:t>
      </w:r>
      <w:proofErr w:type="spellEnd"/>
      <w:r w:rsidRPr="00AC0E78">
        <w:rPr>
          <w:i/>
          <w:iCs/>
          <w:lang w:val="id-ID"/>
        </w:rPr>
        <w:t xml:space="preserve"> </w:t>
      </w:r>
      <w:r w:rsidRPr="00AC0E78">
        <w:rPr>
          <w:lang w:val="id-ID"/>
        </w:rPr>
        <w:t xml:space="preserve">atau dugaan </w:t>
      </w:r>
      <w:proofErr w:type="spellStart"/>
      <w:r w:rsidRPr="00AC0E78">
        <w:rPr>
          <w:lang w:val="id-ID"/>
        </w:rPr>
        <w:t>manipulasi faktur</w:t>
      </w:r>
      <w:proofErr w:type="spellEnd"/>
      <w:r w:rsidRPr="00AC0E78">
        <w:rPr>
          <w:lang w:val="id-ID"/>
        </w:rPr>
        <w:t xml:space="preserve"> ekspor,” ujar </w:t>
      </w:r>
      <w:proofErr w:type="spellStart"/>
      <w:r w:rsidRPr="00AC0E78">
        <w:rPr>
          <w:lang w:val="id-ID"/>
        </w:rPr>
        <w:t>Christiantoko</w:t>
      </w:r>
      <w:proofErr w:type="spellEnd"/>
      <w:r w:rsidRPr="00AC0E78">
        <w:rPr>
          <w:lang w:val="id-ID"/>
        </w:rPr>
        <w:t xml:space="preserve"> di Jakarta, Kamis (20/11/2025).</w:t>
      </w:r>
    </w:p>
    <w:p w14:paraId="45891801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>Ambil contoh dengan Swiss, negara yang menjadi jantung pergerakan emas dunia sekaligus produsen perhiasan terkemuka. Pada 2015, negara tersebut mencatat ada impor emas senilai US$405 juta dari Indonesia. Namun, Indonesia mencatat nihil alias tidak ada ekspor ke negara tersebut.</w:t>
      </w:r>
    </w:p>
    <w:p w14:paraId="376AC34B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“Itu yang biasa dikenal dengan </w:t>
      </w:r>
      <w:proofErr w:type="spellStart"/>
      <w:r w:rsidRPr="00AC0E78">
        <w:rPr>
          <w:i/>
          <w:iCs/>
          <w:lang w:val="id-ID"/>
        </w:rPr>
        <w:t>under-invoicing</w:t>
      </w:r>
      <w:proofErr w:type="spellEnd"/>
      <w:r w:rsidRPr="00AC0E78">
        <w:rPr>
          <w:lang w:val="id-ID"/>
        </w:rPr>
        <w:t xml:space="preserve"> ekspor. Catatan kita lebih rendah dibandingkan catatan negara mitra,” tutur </w:t>
      </w:r>
      <w:proofErr w:type="spellStart"/>
      <w:r w:rsidRPr="00AC0E78">
        <w:rPr>
          <w:lang w:val="id-ID"/>
        </w:rPr>
        <w:t>Christiantoko</w:t>
      </w:r>
      <w:proofErr w:type="spellEnd"/>
      <w:r w:rsidRPr="00AC0E78">
        <w:rPr>
          <w:lang w:val="id-ID"/>
        </w:rPr>
        <w:t>.</w:t>
      </w:r>
    </w:p>
    <w:p w14:paraId="15D2E16D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>Secara kumulatif dalam 10 tahun (2015-2024)</w:t>
      </w:r>
      <w:r>
        <w:rPr>
          <w:lang w:val="id-ID"/>
        </w:rPr>
        <w:t>, dalam transaksi perdagangan dengan Swiss,</w:t>
      </w:r>
      <w:r w:rsidRPr="00AC0E78">
        <w:rPr>
          <w:lang w:val="id-ID"/>
        </w:rPr>
        <w:t xml:space="preserve"> ada selisih pencatatan sekitar US$1,3 miliar. Pada periode itu, Indonesia hanya mencatat ekspor ke Swiss senilai US$2,7 miliar. Sedangkan Swiss mencatat impor komoditas yang sama dari Indonesia sekitar US$4,0 miliar.</w:t>
      </w:r>
    </w:p>
    <w:p w14:paraId="561EC985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Akibat catatan eksportir Indonesia lebih rendah, maka penerimaan yang dibukukan perusahaan pun tidak sesuai dengan seharusnya. Akibatnya, pajak penghasilan final yang ditagihkan bisa lebih rendah dari </w:t>
      </w:r>
      <w:proofErr w:type="spellStart"/>
      <w:r w:rsidRPr="00AC0E78">
        <w:rPr>
          <w:lang w:val="id-ID"/>
        </w:rPr>
        <w:t>semestinya</w:t>
      </w:r>
      <w:proofErr w:type="spellEnd"/>
      <w:r w:rsidRPr="00AC0E78">
        <w:rPr>
          <w:lang w:val="id-ID"/>
        </w:rPr>
        <w:t>.</w:t>
      </w:r>
    </w:p>
    <w:p w14:paraId="7625D29F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  <w:r w:rsidRPr="00AC0E78">
        <w:rPr>
          <w:lang w:val="id-ID"/>
        </w:rPr>
        <w:t xml:space="preserve">“Karena itulah, bersamaan dengan rencana pengenaan bea keluar untuk ekspor emas, tata kelolanya juga perlu diperbaiki agar bisnis komoditas emas lebih sehat, dan penerimaan negara menjadi maksimal,” tegas </w:t>
      </w:r>
      <w:proofErr w:type="spellStart"/>
      <w:r w:rsidRPr="00AC0E78">
        <w:rPr>
          <w:lang w:val="id-ID"/>
        </w:rPr>
        <w:t>Christiantoko</w:t>
      </w:r>
      <w:proofErr w:type="spellEnd"/>
      <w:r w:rsidRPr="00AC0E78">
        <w:rPr>
          <w:lang w:val="id-ID"/>
        </w:rPr>
        <w:t>.</w:t>
      </w:r>
    </w:p>
    <w:p w14:paraId="22A4EB35" w14:textId="2BE00B13" w:rsidR="001C1FCA" w:rsidRDefault="001C1FCA" w:rsidP="001C1FCA">
      <w:pPr>
        <w:spacing w:line="240" w:lineRule="auto"/>
        <w:jc w:val="both"/>
        <w:rPr>
          <w:lang w:val="id-ID"/>
        </w:rPr>
      </w:pPr>
    </w:p>
    <w:p w14:paraId="4D15A1EE" w14:textId="77777777" w:rsidR="001C1FCA" w:rsidRPr="00AC0E78" w:rsidRDefault="001C1FCA" w:rsidP="001C1FCA">
      <w:pPr>
        <w:spacing w:line="240" w:lineRule="auto"/>
        <w:jc w:val="both"/>
        <w:rPr>
          <w:lang w:val="id-ID"/>
        </w:rPr>
      </w:pPr>
    </w:p>
    <w:p w14:paraId="6F247592" w14:textId="77777777" w:rsidR="001C1FCA" w:rsidRDefault="001C1FCA" w:rsidP="001C1FCA">
      <w:pPr>
        <w:spacing w:line="240" w:lineRule="auto"/>
        <w:jc w:val="both"/>
        <w:rPr>
          <w:b/>
          <w:bCs/>
          <w:lang w:val="id-ID"/>
        </w:rPr>
      </w:pPr>
    </w:p>
    <w:p w14:paraId="73D284B4" w14:textId="77777777" w:rsidR="001C1FCA" w:rsidRDefault="001C1FCA" w:rsidP="001C1FCA">
      <w:pPr>
        <w:spacing w:line="240" w:lineRule="auto"/>
        <w:jc w:val="both"/>
        <w:rPr>
          <w:b/>
          <w:bCs/>
          <w:lang w:val="id-ID"/>
        </w:rPr>
      </w:pPr>
      <w:r w:rsidRPr="00AC0E78">
        <w:rPr>
          <w:b/>
          <w:bCs/>
          <w:lang w:val="id-ID"/>
        </w:rPr>
        <w:t>Jangan Lupa Tujuan Utama Bea Keluar</w:t>
      </w:r>
    </w:p>
    <w:p w14:paraId="15EF3C0F" w14:textId="77777777" w:rsidR="001C1FCA" w:rsidRPr="001C1FCA" w:rsidRDefault="001C1FCA" w:rsidP="001C1FCA">
      <w:pPr>
        <w:spacing w:line="240" w:lineRule="auto"/>
        <w:jc w:val="both"/>
        <w:rPr>
          <w:b/>
          <w:bCs/>
          <w:lang w:val="id-ID"/>
        </w:rPr>
      </w:pPr>
      <w:r w:rsidRPr="00AC0E78">
        <w:rPr>
          <w:lang w:val="id-ID"/>
        </w:rPr>
        <w:t xml:space="preserve">Kendati demikian, </w:t>
      </w:r>
      <w:proofErr w:type="spellStart"/>
      <w:r w:rsidRPr="00AC0E78">
        <w:rPr>
          <w:lang w:val="id-ID"/>
        </w:rPr>
        <w:t>Christiantoko</w:t>
      </w:r>
      <w:proofErr w:type="spellEnd"/>
      <w:r w:rsidRPr="00AC0E78">
        <w:rPr>
          <w:lang w:val="id-ID"/>
        </w:rPr>
        <w:t xml:space="preserve"> juga mengingatkan, tujuan utama dari kebijakan bea keluar terhadap barang ekspor termasuk emas, bukan semata-mata meningkatkan penerimaan negara. “Penerimaan itu hanya bonusnya saja,” katanya.</w:t>
      </w:r>
    </w:p>
    <w:p w14:paraId="15DFB82F" w14:textId="77777777" w:rsidR="001C1FCA" w:rsidRDefault="001C1FCA" w:rsidP="001C1FCA">
      <w:pPr>
        <w:spacing w:line="240" w:lineRule="auto"/>
        <w:jc w:val="both"/>
        <w:rPr>
          <w:rFonts w:ascii="Calibri" w:eastAsia="Calibri" w:hAnsi="Calibri" w:cs="Calibri"/>
          <w:lang w:val="id-ID"/>
        </w:rPr>
      </w:pPr>
      <w:r w:rsidRPr="00AC0E78">
        <w:rPr>
          <w:rFonts w:ascii="Calibri" w:eastAsia="Calibri" w:hAnsi="Calibri" w:cs="Calibri"/>
          <w:lang w:val="id-ID"/>
        </w:rPr>
        <w:t>Peraturan Pemerintah Nomor 55 Tahun 2008 tentang Pengenaan Bea Keluar terhadap Barang Ekspor</w:t>
      </w:r>
      <w:r>
        <w:rPr>
          <w:rFonts w:ascii="Calibri" w:eastAsia="Calibri" w:hAnsi="Calibri" w:cs="Calibri"/>
          <w:lang w:val="id-ID"/>
        </w:rPr>
        <w:t xml:space="preserve"> mengungkapkan ada empat tujuan dari kebijakan bea keluar. Pertama, m</w:t>
      </w:r>
      <w:r w:rsidRPr="00AC0E78">
        <w:rPr>
          <w:rFonts w:ascii="Calibri" w:eastAsia="Calibri" w:hAnsi="Calibri" w:cs="Calibri"/>
          <w:lang w:val="id-ID"/>
        </w:rPr>
        <w:t>enjamin terpenuhinya kebutuhan dalam negeri</w:t>
      </w:r>
      <w:r>
        <w:rPr>
          <w:rFonts w:ascii="Calibri" w:eastAsia="Calibri" w:hAnsi="Calibri" w:cs="Calibri"/>
          <w:lang w:val="id-ID"/>
        </w:rPr>
        <w:t>.</w:t>
      </w:r>
    </w:p>
    <w:p w14:paraId="42A9A769" w14:textId="77777777" w:rsidR="001C1FCA" w:rsidRDefault="001C1FCA" w:rsidP="001C1FCA">
      <w:pPr>
        <w:spacing w:line="240" w:lineRule="auto"/>
        <w:jc w:val="both"/>
        <w:rPr>
          <w:rFonts w:ascii="Calibri" w:eastAsia="Calibri" w:hAnsi="Calibri" w:cs="Calibri"/>
          <w:lang w:val="id-ID"/>
        </w:rPr>
      </w:pPr>
      <w:r>
        <w:rPr>
          <w:rFonts w:ascii="Calibri" w:eastAsia="Calibri" w:hAnsi="Calibri" w:cs="Calibri"/>
          <w:lang w:val="id-ID"/>
        </w:rPr>
        <w:t xml:space="preserve">Tujuan tersebut, ungkap </w:t>
      </w:r>
      <w:proofErr w:type="spellStart"/>
      <w:r>
        <w:rPr>
          <w:rFonts w:ascii="Calibri" w:eastAsia="Calibri" w:hAnsi="Calibri" w:cs="Calibri"/>
          <w:lang w:val="id-ID"/>
        </w:rPr>
        <w:t>Christiantoko</w:t>
      </w:r>
      <w:proofErr w:type="spellEnd"/>
      <w:r>
        <w:rPr>
          <w:rFonts w:ascii="Calibri" w:eastAsia="Calibri" w:hAnsi="Calibri" w:cs="Calibri"/>
          <w:lang w:val="id-ID"/>
        </w:rPr>
        <w:t xml:space="preserve">, memiliki relevansi yang kuat dengan kebijakan strategis yang sedang dijalankan pemerintah, yakni </w:t>
      </w:r>
      <w:proofErr w:type="spellStart"/>
      <w:r>
        <w:rPr>
          <w:rFonts w:ascii="Calibri" w:eastAsia="Calibri" w:hAnsi="Calibri" w:cs="Calibri"/>
          <w:lang w:val="id-ID"/>
        </w:rPr>
        <w:t>hilirisasi</w:t>
      </w:r>
      <w:proofErr w:type="spellEnd"/>
      <w:r>
        <w:rPr>
          <w:rFonts w:ascii="Calibri" w:eastAsia="Calibri" w:hAnsi="Calibri" w:cs="Calibri"/>
          <w:lang w:val="id-ID"/>
        </w:rPr>
        <w:t xml:space="preserve"> komoditas pertambangan. Dengan demikian, melalui kebijakan bea keluar untuk ekspor emas, pasokan bahan baku di dalam negeri tetap tersedia dan lebih aman.</w:t>
      </w:r>
    </w:p>
    <w:p w14:paraId="018833CD" w14:textId="77777777" w:rsidR="001C1FCA" w:rsidRDefault="001C1FCA" w:rsidP="001C1FCA">
      <w:pPr>
        <w:spacing w:line="240" w:lineRule="auto"/>
        <w:jc w:val="both"/>
        <w:rPr>
          <w:rFonts w:ascii="Calibri" w:eastAsia="Calibri" w:hAnsi="Calibri" w:cs="Calibri"/>
          <w:lang w:val="id-ID"/>
        </w:rPr>
      </w:pPr>
      <w:r>
        <w:rPr>
          <w:rFonts w:ascii="Calibri" w:eastAsia="Calibri" w:hAnsi="Calibri" w:cs="Calibri"/>
          <w:lang w:val="id-ID"/>
        </w:rPr>
        <w:t>Tujuan kedua sesuai regulasi, bea keluar dimaksudkan untuk m</w:t>
      </w:r>
      <w:r w:rsidRPr="00AC0E78">
        <w:rPr>
          <w:rFonts w:ascii="Calibri" w:eastAsia="Calibri" w:hAnsi="Calibri" w:cs="Calibri"/>
          <w:lang w:val="id-ID"/>
        </w:rPr>
        <w:t>engantisipasi kenaikan harga yang cukup drastis</w:t>
      </w:r>
      <w:r>
        <w:rPr>
          <w:rFonts w:ascii="Calibri" w:eastAsia="Calibri" w:hAnsi="Calibri" w:cs="Calibri"/>
          <w:lang w:val="id-ID"/>
        </w:rPr>
        <w:t xml:space="preserve">. Sedangkan ketiga, demi menjaga </w:t>
      </w:r>
      <w:r w:rsidRPr="00AC0E78">
        <w:rPr>
          <w:rFonts w:ascii="Calibri" w:eastAsia="Calibri" w:hAnsi="Calibri" w:cs="Calibri"/>
          <w:lang w:val="id-ID"/>
        </w:rPr>
        <w:t>stabilitas harga komoditas tertentu di dalam negeri</w:t>
      </w:r>
      <w:r>
        <w:rPr>
          <w:rFonts w:ascii="Calibri" w:eastAsia="Calibri" w:hAnsi="Calibri" w:cs="Calibri"/>
          <w:lang w:val="id-ID"/>
        </w:rPr>
        <w:t xml:space="preserve">. “Kita lihat belakangan ini harga emas murni di dalam negeri mengalami lonjakan yang tidak sehat, sehingga berpotensi menjadi ajang spekulasi,” ujar </w:t>
      </w:r>
      <w:proofErr w:type="spellStart"/>
      <w:r>
        <w:rPr>
          <w:rFonts w:ascii="Calibri" w:eastAsia="Calibri" w:hAnsi="Calibri" w:cs="Calibri"/>
          <w:lang w:val="id-ID"/>
        </w:rPr>
        <w:t>Christiantoko</w:t>
      </w:r>
      <w:proofErr w:type="spellEnd"/>
      <w:r>
        <w:rPr>
          <w:rFonts w:ascii="Calibri" w:eastAsia="Calibri" w:hAnsi="Calibri" w:cs="Calibri"/>
          <w:lang w:val="id-ID"/>
        </w:rPr>
        <w:t>.</w:t>
      </w:r>
    </w:p>
    <w:p w14:paraId="3964D1FA" w14:textId="09A545B7" w:rsidR="001C1FCA" w:rsidRDefault="001C1FCA" w:rsidP="001C1FCA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  <w:r>
        <w:rPr>
          <w:rFonts w:ascii="Calibri" w:eastAsia="Calibri" w:hAnsi="Calibri" w:cs="Calibri"/>
          <w:lang w:val="id-ID"/>
        </w:rPr>
        <w:t xml:space="preserve">Dia juga mengingatkan, tujuan keempat dari bea keluar seperti tertuang dalam </w:t>
      </w:r>
      <w:r w:rsidRPr="00AC0E78">
        <w:rPr>
          <w:rFonts w:ascii="Calibri" w:eastAsia="Calibri" w:hAnsi="Calibri" w:cs="Calibri"/>
          <w:lang w:val="id-ID"/>
        </w:rPr>
        <w:t>Peraturan Pemerintah Nomor 55 Tahun 2008</w:t>
      </w:r>
      <w:r>
        <w:rPr>
          <w:rFonts w:ascii="Calibri" w:eastAsia="Calibri" w:hAnsi="Calibri" w:cs="Calibri"/>
          <w:lang w:val="id-ID"/>
        </w:rPr>
        <w:t>, yaitu m</w:t>
      </w:r>
      <w:r w:rsidRPr="00AC0E78">
        <w:rPr>
          <w:rFonts w:ascii="Calibri" w:eastAsia="Calibri" w:hAnsi="Calibri" w:cs="Calibri"/>
          <w:lang w:val="id-ID"/>
        </w:rPr>
        <w:t>elindungi kelestarian sumber daya alam</w:t>
      </w:r>
      <w:r>
        <w:rPr>
          <w:rFonts w:ascii="Calibri" w:eastAsia="Calibri" w:hAnsi="Calibri" w:cs="Calibri"/>
          <w:lang w:val="id-ID"/>
        </w:rPr>
        <w:t>. “Kalau ekspor mentah dibiarkan terus, nanti kegiatan penambangannya bisa ugal-ugalan, sehingga mengancam kelestarian lingkungan hidup,” paparnya.</w:t>
      </w:r>
    </w:p>
    <w:p w14:paraId="28698701" w14:textId="20F76336" w:rsidR="001C1FCA" w:rsidRPr="001C1FCA" w:rsidRDefault="001C1FCA" w:rsidP="001C1FCA">
      <w:pPr>
        <w:spacing w:after="0" w:line="240" w:lineRule="auto"/>
        <w:rPr>
          <w:rFonts w:ascii="Calibri" w:eastAsia="Calibri" w:hAnsi="Calibri" w:cs="Calibri"/>
          <w:lang w:val="id-ID"/>
        </w:rPr>
      </w:pPr>
    </w:p>
    <w:p w14:paraId="736CF88B" w14:textId="77777777" w:rsidR="001C1FCA" w:rsidRPr="00547BC1" w:rsidRDefault="001C1FCA" w:rsidP="001C1FCA">
      <w:pPr>
        <w:spacing w:after="80"/>
        <w:rPr>
          <w:rFonts w:ascii="Cambria" w:hAnsi="Cambria"/>
          <w:sz w:val="24"/>
          <w:szCs w:val="24"/>
          <w:lang w:val="id-ID"/>
        </w:rPr>
      </w:pPr>
      <w:r w:rsidRPr="00770A46">
        <w:rPr>
          <w:rFonts w:ascii="Cambria" w:hAnsi="Cambria"/>
          <w:sz w:val="24"/>
          <w:szCs w:val="24"/>
          <w:lang w:val="id-ID"/>
        </w:rPr>
        <w:t>-----------------------------------------------------------------------------------------------------------------</w:t>
      </w:r>
    </w:p>
    <w:p w14:paraId="3687DBC4" w14:textId="77777777" w:rsidR="001C1FCA" w:rsidRDefault="001C1FCA" w:rsidP="001C1FCA">
      <w:pPr>
        <w:spacing w:after="80"/>
        <w:rPr>
          <w:rFonts w:ascii="Calibri" w:hAnsi="Calibri" w:cs="Calibri"/>
          <w:b/>
          <w:bCs/>
          <w:sz w:val="18"/>
          <w:szCs w:val="18"/>
          <w:lang w:val="id-ID"/>
        </w:rPr>
      </w:pPr>
    </w:p>
    <w:p w14:paraId="1506BE01" w14:textId="77777777" w:rsidR="001C1FCA" w:rsidRPr="00547BC1" w:rsidRDefault="001C1FCA" w:rsidP="001C1FCA">
      <w:pPr>
        <w:spacing w:after="80"/>
        <w:rPr>
          <w:rFonts w:ascii="Calibri" w:hAnsi="Calibri" w:cs="Calibri"/>
          <w:b/>
          <w:bCs/>
          <w:sz w:val="18"/>
          <w:szCs w:val="18"/>
          <w:lang w:val="id-ID"/>
        </w:rPr>
      </w:pPr>
      <w:r w:rsidRPr="00547BC1">
        <w:rPr>
          <w:rFonts w:ascii="Calibri" w:hAnsi="Calibri" w:cs="Calibri"/>
          <w:b/>
          <w:bCs/>
          <w:sz w:val="18"/>
          <w:szCs w:val="18"/>
          <w:lang w:val="id-ID"/>
        </w:rPr>
        <w:t>NEXT Indonesia Center</w:t>
      </w:r>
    </w:p>
    <w:p w14:paraId="3EB3F0FF" w14:textId="77777777" w:rsidR="001C1FCA" w:rsidRPr="00547BC1" w:rsidRDefault="001C1FCA" w:rsidP="001C1FCA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47BC1">
        <w:rPr>
          <w:rFonts w:ascii="Calibri" w:hAnsi="Calibri" w:cs="Calibri"/>
          <w:sz w:val="18"/>
          <w:szCs w:val="18"/>
          <w:lang w:val="id-ID"/>
        </w:rPr>
        <w:t xml:space="preserve">NEXT Indonesia Center adalah lembaga independen dengan konsentrasi di bidang riset dan publikasi. Kami menggabungkan disiplin jurnalistik sebagai penyajian dan disiplin akademik sebagai panduan dalam melakukan riset. </w:t>
      </w:r>
    </w:p>
    <w:p w14:paraId="18314F2A" w14:textId="77777777" w:rsidR="001C1FCA" w:rsidRPr="00547BC1" w:rsidRDefault="001C1FCA" w:rsidP="001C1FCA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47BC1">
        <w:rPr>
          <w:rFonts w:ascii="Calibri" w:hAnsi="Calibri" w:cs="Calibri"/>
          <w:sz w:val="18"/>
          <w:szCs w:val="18"/>
          <w:lang w:val="id-ID"/>
        </w:rPr>
        <w:t>Konsentrasi kegiatan riset dan publikasi kami, terutama di bidang ekonomi, sosial</w:t>
      </w:r>
      <w:r w:rsidRPr="00547BC1">
        <w:rPr>
          <w:rFonts w:ascii="Calibri" w:hAnsi="Calibri" w:cs="Calibri"/>
          <w:sz w:val="18"/>
          <w:szCs w:val="18"/>
        </w:rPr>
        <w:t xml:space="preserve"> </w:t>
      </w:r>
      <w:r w:rsidRPr="00547BC1">
        <w:rPr>
          <w:rFonts w:ascii="Calibri" w:hAnsi="Calibri" w:cs="Calibri"/>
          <w:sz w:val="18"/>
          <w:szCs w:val="18"/>
          <w:lang w:val="id-ID"/>
        </w:rPr>
        <w:t>dan kebijakan publik. Kami membantu para pemangku kepentingan agar lebih tepat dalam mengambil kebijakan strategis, baik untuk organisasi pemerintah, korporasi, organisasi masyarakat sipil, maupun lembaga lain dan individu.</w:t>
      </w:r>
    </w:p>
    <w:p w14:paraId="36B6C0A5" w14:textId="77777777" w:rsidR="001C1FCA" w:rsidRPr="00547BC1" w:rsidRDefault="001C1FCA" w:rsidP="001C1FCA">
      <w:pPr>
        <w:spacing w:after="80"/>
        <w:rPr>
          <w:rFonts w:ascii="Calibri" w:hAnsi="Calibri" w:cs="Calibri"/>
          <w:b/>
          <w:sz w:val="18"/>
          <w:szCs w:val="18"/>
          <w:lang w:val="en-ID"/>
        </w:rPr>
      </w:pPr>
      <w:proofErr w:type="spellStart"/>
      <w:r w:rsidRPr="00547BC1">
        <w:rPr>
          <w:rFonts w:ascii="Calibri" w:hAnsi="Calibri" w:cs="Calibri"/>
          <w:b/>
          <w:sz w:val="18"/>
          <w:szCs w:val="18"/>
          <w:lang w:val="en-ID"/>
        </w:rPr>
        <w:t>Narahubung</w:t>
      </w:r>
      <w:proofErr w:type="spellEnd"/>
      <w:r w:rsidRPr="00547BC1">
        <w:rPr>
          <w:rFonts w:ascii="Calibri" w:hAnsi="Calibri" w:cs="Calibri"/>
          <w:b/>
          <w:sz w:val="18"/>
          <w:szCs w:val="18"/>
          <w:lang w:val="en-ID"/>
        </w:rPr>
        <w:t>:</w:t>
      </w:r>
    </w:p>
    <w:p w14:paraId="1C09513C" w14:textId="77777777" w:rsidR="001C1FCA" w:rsidRPr="00547BC1" w:rsidRDefault="001C1FCA" w:rsidP="001C1FCA">
      <w:pPr>
        <w:spacing w:after="80"/>
        <w:rPr>
          <w:rFonts w:ascii="Calibri" w:hAnsi="Calibri" w:cs="Calibri"/>
          <w:sz w:val="18"/>
          <w:szCs w:val="18"/>
          <w:lang w:val="en-ID"/>
        </w:rPr>
      </w:pPr>
      <w:r w:rsidRPr="00547BC1">
        <w:rPr>
          <w:rFonts w:ascii="Calibri" w:hAnsi="Calibri" w:cs="Calibri"/>
          <w:sz w:val="18"/>
          <w:szCs w:val="18"/>
          <w:lang w:val="en-ID"/>
        </w:rPr>
        <w:t xml:space="preserve">Research Coordinator Next Indonesia </w:t>
      </w:r>
      <w:proofErr w:type="spellStart"/>
      <w:r w:rsidRPr="00547BC1">
        <w:rPr>
          <w:rFonts w:ascii="Calibri" w:hAnsi="Calibri" w:cs="Calibri"/>
          <w:sz w:val="18"/>
          <w:szCs w:val="18"/>
          <w:lang w:val="en-ID"/>
        </w:rPr>
        <w:t>Center</w:t>
      </w:r>
      <w:proofErr w:type="spellEnd"/>
      <w:r w:rsidRPr="00547BC1">
        <w:rPr>
          <w:rFonts w:ascii="Calibri" w:hAnsi="Calibri" w:cs="Calibri"/>
          <w:sz w:val="18"/>
          <w:szCs w:val="18"/>
          <w:lang w:val="en-ID"/>
        </w:rPr>
        <w:t>,</w:t>
      </w:r>
    </w:p>
    <w:p w14:paraId="2C7E35BA" w14:textId="77777777" w:rsidR="001C1FCA" w:rsidRPr="00547BC1" w:rsidRDefault="001C1FCA" w:rsidP="001C1FCA">
      <w:pPr>
        <w:spacing w:after="80"/>
        <w:rPr>
          <w:rFonts w:ascii="Calibri" w:hAnsi="Calibri" w:cs="Calibri"/>
          <w:sz w:val="18"/>
          <w:szCs w:val="18"/>
          <w:lang w:val="en-ID"/>
        </w:rPr>
      </w:pPr>
      <w:r w:rsidRPr="00547BC1">
        <w:rPr>
          <w:rFonts w:ascii="Calibri" w:hAnsi="Calibri" w:cs="Calibri"/>
          <w:sz w:val="18"/>
          <w:szCs w:val="18"/>
          <w:lang w:val="en-ID"/>
        </w:rPr>
        <w:t xml:space="preserve">Phone: </w:t>
      </w:r>
      <w:hyperlink r:id="rId6" w:history="1">
        <w:r w:rsidRPr="00547BC1">
          <w:rPr>
            <w:rStyle w:val="Hyperlink"/>
            <w:rFonts w:ascii="Calibri" w:hAnsi="Calibri" w:cs="Calibri"/>
            <w:sz w:val="18"/>
            <w:szCs w:val="18"/>
          </w:rPr>
          <w:t>+62 823-1016-5120</w:t>
        </w:r>
      </w:hyperlink>
    </w:p>
    <w:p w14:paraId="00DFECA0" w14:textId="77777777" w:rsidR="001C1FCA" w:rsidRPr="00770A46" w:rsidRDefault="001C1FCA" w:rsidP="001C1FCA">
      <w:pPr>
        <w:rPr>
          <w:sz w:val="24"/>
          <w:szCs w:val="24"/>
        </w:rPr>
      </w:pPr>
    </w:p>
    <w:p w14:paraId="2985779D" w14:textId="77777777" w:rsidR="001C1FCA" w:rsidRPr="00770A46" w:rsidRDefault="001C1FCA" w:rsidP="001C1FCA">
      <w:pPr>
        <w:rPr>
          <w:sz w:val="24"/>
          <w:szCs w:val="24"/>
        </w:rPr>
      </w:pPr>
    </w:p>
    <w:p w14:paraId="004A9270" w14:textId="77777777" w:rsidR="001C1FCA" w:rsidRDefault="001C1FCA" w:rsidP="001C1FCA"/>
    <w:p w14:paraId="47E08DD8" w14:textId="77777777" w:rsidR="001C1FCA" w:rsidRDefault="001C1FCA" w:rsidP="001C1FCA"/>
    <w:p w14:paraId="47333E70" w14:textId="77777777" w:rsidR="001C1FCA" w:rsidRDefault="001C1FCA" w:rsidP="001C1FCA"/>
    <w:p w14:paraId="48429978" w14:textId="77777777" w:rsidR="0098127B" w:rsidRDefault="0098127B"/>
    <w:sectPr w:rsidR="0098127B" w:rsidSect="007E3513">
      <w:headerReference w:type="default" r:id="rId7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7796" w14:textId="77777777" w:rsidR="00F17A66" w:rsidRDefault="00F17A66" w:rsidP="001C1FCA">
      <w:pPr>
        <w:spacing w:after="0" w:line="240" w:lineRule="auto"/>
      </w:pPr>
      <w:r>
        <w:separator/>
      </w:r>
    </w:p>
  </w:endnote>
  <w:endnote w:type="continuationSeparator" w:id="0">
    <w:p w14:paraId="5DE2D49E" w14:textId="77777777" w:rsidR="00F17A66" w:rsidRDefault="00F17A66" w:rsidP="001C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9A78" w14:textId="77777777" w:rsidR="00F17A66" w:rsidRDefault="00F17A66" w:rsidP="001C1FCA">
      <w:pPr>
        <w:spacing w:after="0" w:line="240" w:lineRule="auto"/>
      </w:pPr>
      <w:r>
        <w:separator/>
      </w:r>
    </w:p>
  </w:footnote>
  <w:footnote w:type="continuationSeparator" w:id="0">
    <w:p w14:paraId="16A3AB57" w14:textId="77777777" w:rsidR="00F17A66" w:rsidRDefault="00F17A66" w:rsidP="001C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F2E60" w14:textId="77777777" w:rsidR="00B35FEE" w:rsidRPr="00562DDA" w:rsidRDefault="00F17A66" w:rsidP="00562DDA">
    <w:pPr>
      <w:pStyle w:val="Header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4454B2" wp14:editId="557200B0">
          <wp:simplePos x="0" y="0"/>
          <wp:positionH relativeFrom="column">
            <wp:posOffset>-267335</wp:posOffset>
          </wp:positionH>
          <wp:positionV relativeFrom="paragraph">
            <wp:posOffset>-314325</wp:posOffset>
          </wp:positionV>
          <wp:extent cx="1495425" cy="876300"/>
          <wp:effectExtent l="0" t="0" r="0" b="0"/>
          <wp:wrapThrough wrapText="bothSides">
            <wp:wrapPolygon edited="0">
              <wp:start x="7154" y="6104"/>
              <wp:lineTo x="4127" y="7043"/>
              <wp:lineTo x="3852" y="12209"/>
              <wp:lineTo x="4678" y="15026"/>
              <wp:lineTo x="6054" y="15026"/>
              <wp:lineTo x="17060" y="14087"/>
              <wp:lineTo x="17335" y="7513"/>
              <wp:lineTo x="8255" y="6104"/>
              <wp:lineTo x="7154" y="6104"/>
            </wp:wrapPolygon>
          </wp:wrapThrough>
          <wp:docPr id="430997874" name="Picture 1" descr="A logo with blue and pink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04844" name="Picture 1" descr="A logo with blue and pink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proofErr w:type="spellStart"/>
    <w:r w:rsidRPr="00562DDA">
      <w:rPr>
        <w:b/>
        <w:bCs/>
        <w:sz w:val="18"/>
        <w:szCs w:val="18"/>
      </w:rPr>
      <w:t>Siaran</w:t>
    </w:r>
    <w:proofErr w:type="spellEnd"/>
    <w:r w:rsidRPr="00562DDA">
      <w:rPr>
        <w:b/>
        <w:bCs/>
        <w:sz w:val="18"/>
        <w:szCs w:val="18"/>
      </w:rPr>
      <w:t xml:space="preserve"> Pers</w:t>
    </w:r>
  </w:p>
  <w:p w14:paraId="59D2CAA0" w14:textId="77777777" w:rsidR="00B35FEE" w:rsidRPr="00562DDA" w:rsidRDefault="00F17A66" w:rsidP="00562DDA">
    <w:pPr>
      <w:pStyle w:val="Header"/>
      <w:jc w:val="right"/>
      <w:rPr>
        <w:sz w:val="18"/>
        <w:szCs w:val="18"/>
      </w:rPr>
    </w:pPr>
    <w:proofErr w:type="spellStart"/>
    <w:r w:rsidRPr="00562DDA">
      <w:rPr>
        <w:sz w:val="18"/>
        <w:szCs w:val="18"/>
      </w:rPr>
      <w:t>Untuk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Segera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Disiarkan</w:t>
    </w:r>
    <w:proofErr w:type="spellEnd"/>
  </w:p>
  <w:p w14:paraId="06B44D58" w14:textId="771EF7B6" w:rsidR="00B35FEE" w:rsidRDefault="001C1FCA" w:rsidP="00562DDA">
    <w:pPr>
      <w:pStyle w:val="Header"/>
      <w:jc w:val="right"/>
    </w:pPr>
    <w:proofErr w:type="spellStart"/>
    <w:r>
      <w:rPr>
        <w:sz w:val="18"/>
        <w:szCs w:val="18"/>
      </w:rPr>
      <w:t>Kamis</w:t>
    </w:r>
    <w:proofErr w:type="spellEnd"/>
    <w:r w:rsidR="00F17A66">
      <w:rPr>
        <w:sz w:val="18"/>
        <w:szCs w:val="18"/>
      </w:rPr>
      <w:t>,</w:t>
    </w:r>
    <w:r w:rsidR="00F17A66" w:rsidRPr="00562DDA">
      <w:rPr>
        <w:sz w:val="18"/>
        <w:szCs w:val="18"/>
      </w:rPr>
      <w:t xml:space="preserve"> </w:t>
    </w:r>
    <w:r>
      <w:rPr>
        <w:sz w:val="18"/>
        <w:szCs w:val="18"/>
      </w:rPr>
      <w:t xml:space="preserve">20 </w:t>
    </w:r>
    <w:r w:rsidR="00F17A66">
      <w:rPr>
        <w:sz w:val="18"/>
        <w:szCs w:val="18"/>
      </w:rPr>
      <w:t>November</w:t>
    </w:r>
    <w:r w:rsidR="00F17A66" w:rsidRPr="00562DDA">
      <w:rPr>
        <w:sz w:val="18"/>
        <w:szCs w:val="18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A"/>
    <w:rsid w:val="001C1FCA"/>
    <w:rsid w:val="0098127B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BD2D2"/>
  <w15:chartTrackingRefBased/>
  <w15:docId w15:val="{18AEDA94-998C-6D40-895C-C79481F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CA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CA"/>
    <w:rPr>
      <w:kern w:val="2"/>
      <w:sz w:val="22"/>
      <w:szCs w:val="2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C1FC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CA"/>
    <w:rPr>
      <w:kern w:val="2"/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to:+012(345)678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2025-11-19T14:47:00Z</dcterms:created>
  <dcterms:modified xsi:type="dcterms:W3CDTF">2025-11-19T14:52:00Z</dcterms:modified>
</cp:coreProperties>
</file>