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A4B99" w14:textId="77777777" w:rsidR="00770A46" w:rsidRPr="00770A46" w:rsidRDefault="00770A46" w:rsidP="00770A46">
      <w:pPr>
        <w:spacing w:after="240"/>
        <w:jc w:val="center"/>
        <w:rPr>
          <w:rFonts w:ascii="Calibri" w:hAnsi="Calibri" w:cs="Calibri"/>
          <w:b/>
          <w:bCs/>
          <w:sz w:val="24"/>
          <w:szCs w:val="24"/>
          <w:lang w:val="id-ID"/>
        </w:rPr>
      </w:pPr>
    </w:p>
    <w:p w14:paraId="38DD365A" w14:textId="5DA12CA3" w:rsidR="00770A46" w:rsidRPr="00770A46" w:rsidRDefault="00770A46" w:rsidP="00770A46">
      <w:pPr>
        <w:spacing w:after="240"/>
        <w:jc w:val="center"/>
        <w:rPr>
          <w:rFonts w:ascii="Calibri" w:hAnsi="Calibri" w:cs="Calibri"/>
          <w:sz w:val="28"/>
          <w:szCs w:val="28"/>
          <w:lang w:val="id-ID"/>
        </w:rPr>
      </w:pPr>
      <w:r w:rsidRPr="00770A46">
        <w:rPr>
          <w:rFonts w:ascii="Calibri" w:hAnsi="Calibri" w:cs="Calibri"/>
          <w:b/>
          <w:bCs/>
          <w:sz w:val="28"/>
          <w:szCs w:val="28"/>
          <w:lang w:val="id-ID"/>
        </w:rPr>
        <w:t xml:space="preserve">Ribuan Triliun Potensi Pajak Menguap dari </w:t>
      </w:r>
      <w:proofErr w:type="spellStart"/>
      <w:r w:rsidRPr="00770A46">
        <w:rPr>
          <w:rFonts w:ascii="Calibri" w:hAnsi="Calibri" w:cs="Calibri"/>
          <w:b/>
          <w:bCs/>
          <w:i/>
          <w:iCs/>
          <w:sz w:val="28"/>
          <w:szCs w:val="28"/>
          <w:lang w:val="id-ID"/>
        </w:rPr>
        <w:t>Misinvoicing</w:t>
      </w:r>
      <w:proofErr w:type="spellEnd"/>
      <w:r w:rsidRPr="00770A46">
        <w:rPr>
          <w:rFonts w:ascii="Calibri" w:hAnsi="Calibri" w:cs="Calibri"/>
          <w:b/>
          <w:bCs/>
          <w:sz w:val="28"/>
          <w:szCs w:val="28"/>
          <w:lang w:val="id-ID"/>
        </w:rPr>
        <w:t xml:space="preserve"> Impor</w:t>
      </w:r>
    </w:p>
    <w:p w14:paraId="197AF177" w14:textId="5F76CDD3"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b/>
          <w:bCs/>
          <w:sz w:val="24"/>
          <w:szCs w:val="24"/>
          <w:lang w:val="id-ID"/>
        </w:rPr>
        <w:t>Jakarta</w:t>
      </w:r>
      <w:r w:rsidRPr="00770A46">
        <w:rPr>
          <w:rFonts w:ascii="Calibri" w:hAnsi="Calibri" w:cs="Calibri"/>
          <w:b/>
          <w:bCs/>
          <w:sz w:val="24"/>
          <w:szCs w:val="24"/>
        </w:rPr>
        <w:t xml:space="preserve"> </w:t>
      </w:r>
      <w:r w:rsidRPr="00770A46">
        <w:rPr>
          <w:rFonts w:ascii="Calibri" w:hAnsi="Calibri" w:cs="Calibri"/>
          <w:sz w:val="24"/>
          <w:szCs w:val="24"/>
          <w:lang w:val="id-ID"/>
        </w:rPr>
        <w:t xml:space="preserve">– Hasil riset NEXT Indonesia Center menemukan adanya dugaan praktik manipulasi faktur dari transaksi impor atau </w:t>
      </w:r>
      <w:proofErr w:type="spellStart"/>
      <w:r w:rsidRPr="00770A46">
        <w:rPr>
          <w:rFonts w:ascii="Calibri" w:hAnsi="Calibri" w:cs="Calibri"/>
          <w:i/>
          <w:iCs/>
          <w:sz w:val="24"/>
          <w:szCs w:val="24"/>
          <w:lang w:val="id-ID"/>
        </w:rPr>
        <w:t>trade</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misinvoicing</w:t>
      </w:r>
      <w:proofErr w:type="spellEnd"/>
      <w:r w:rsidRPr="00770A46">
        <w:rPr>
          <w:rFonts w:ascii="Calibri" w:hAnsi="Calibri" w:cs="Calibri"/>
          <w:i/>
          <w:iCs/>
          <w:sz w:val="24"/>
          <w:szCs w:val="24"/>
          <w:lang w:val="id-ID"/>
        </w:rPr>
        <w:t xml:space="preserve"> </w:t>
      </w:r>
      <w:r w:rsidRPr="00770A46">
        <w:rPr>
          <w:rFonts w:ascii="Calibri" w:hAnsi="Calibri" w:cs="Calibri"/>
          <w:sz w:val="24"/>
          <w:szCs w:val="24"/>
          <w:lang w:val="id-ID"/>
        </w:rPr>
        <w:t>senilai US$720 miliar sepanjang periode 2014-2023. Nilai itu setara dengan Rp10.080 triliun, berdasarkan rata-rata kurs tengah Bank Indonesia sepanjang periode observasi yang mencapai Rp14.000 per dolar Amerika Serikat (AS).</w:t>
      </w:r>
    </w:p>
    <w:p w14:paraId="1C8E22BF"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Peneliti NEXT Indonesia Center Sandy </w:t>
      </w:r>
      <w:proofErr w:type="spellStart"/>
      <w:r w:rsidRPr="00770A46">
        <w:rPr>
          <w:rFonts w:ascii="Calibri" w:hAnsi="Calibri" w:cs="Calibri"/>
          <w:sz w:val="24"/>
          <w:szCs w:val="24"/>
          <w:lang w:val="id-ID"/>
        </w:rPr>
        <w:t>Pramuji</w:t>
      </w:r>
      <w:proofErr w:type="spellEnd"/>
      <w:r w:rsidRPr="00770A46">
        <w:rPr>
          <w:rFonts w:ascii="Calibri" w:hAnsi="Calibri" w:cs="Calibri"/>
          <w:sz w:val="24"/>
          <w:szCs w:val="24"/>
          <w:lang w:val="id-ID"/>
        </w:rPr>
        <w:t xml:space="preserve"> menjelaskan, </w:t>
      </w:r>
      <w:proofErr w:type="spellStart"/>
      <w:r w:rsidRPr="00770A46">
        <w:rPr>
          <w:rFonts w:ascii="Calibri" w:hAnsi="Calibri" w:cs="Calibri"/>
          <w:i/>
          <w:iCs/>
          <w:sz w:val="24"/>
          <w:szCs w:val="24"/>
          <w:lang w:val="id-ID"/>
        </w:rPr>
        <w:t>trade</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misinvoicing</w:t>
      </w:r>
      <w:proofErr w:type="spellEnd"/>
      <w:r w:rsidRPr="00770A46">
        <w:rPr>
          <w:rFonts w:ascii="Calibri" w:hAnsi="Calibri" w:cs="Calibri"/>
          <w:i/>
          <w:iCs/>
          <w:sz w:val="24"/>
          <w:szCs w:val="24"/>
          <w:lang w:val="id-ID"/>
        </w:rPr>
        <w:t xml:space="preserve"> </w:t>
      </w:r>
      <w:r w:rsidRPr="00770A46">
        <w:rPr>
          <w:rFonts w:ascii="Calibri" w:hAnsi="Calibri" w:cs="Calibri"/>
          <w:sz w:val="24"/>
          <w:szCs w:val="24"/>
          <w:lang w:val="id-ID"/>
        </w:rPr>
        <w:t xml:space="preserve">adalah perbedaan pencatatan nilai ekspor-impor antara dua negara mitra dagang. Dalam kasus impor misalnya, kasus itu bisa terjadi melalui praktik </w:t>
      </w:r>
      <w:proofErr w:type="spellStart"/>
      <w:r w:rsidRPr="00770A46">
        <w:rPr>
          <w:rFonts w:ascii="Calibri" w:hAnsi="Calibri" w:cs="Calibri"/>
          <w:i/>
          <w:iCs/>
          <w:sz w:val="24"/>
          <w:szCs w:val="24"/>
          <w:lang w:val="id-ID"/>
        </w:rPr>
        <w:t>under-invoicing</w:t>
      </w:r>
      <w:proofErr w:type="spellEnd"/>
      <w:r w:rsidRPr="00770A46">
        <w:rPr>
          <w:rFonts w:ascii="Calibri" w:hAnsi="Calibri" w:cs="Calibri"/>
          <w:sz w:val="24"/>
          <w:szCs w:val="24"/>
          <w:lang w:val="id-ID"/>
        </w:rPr>
        <w:t xml:space="preserve"> (nilai impor dilaporkan lebih rendah dari catatan ekspor di negara asal produk) maupun </w:t>
      </w:r>
      <w:r w:rsidRPr="00770A46">
        <w:rPr>
          <w:rFonts w:ascii="Calibri" w:hAnsi="Calibri" w:cs="Calibri"/>
          <w:i/>
          <w:iCs/>
          <w:sz w:val="24"/>
          <w:szCs w:val="24"/>
          <w:lang w:val="id-ID"/>
        </w:rPr>
        <w:t>over-</w:t>
      </w:r>
      <w:proofErr w:type="spellStart"/>
      <w:r w:rsidRPr="00770A46">
        <w:rPr>
          <w:rFonts w:ascii="Calibri" w:hAnsi="Calibri" w:cs="Calibri"/>
          <w:i/>
          <w:iCs/>
          <w:sz w:val="24"/>
          <w:szCs w:val="24"/>
          <w:lang w:val="id-ID"/>
        </w:rPr>
        <w:t>invoicing</w:t>
      </w:r>
      <w:proofErr w:type="spellEnd"/>
      <w:r w:rsidRPr="00770A46">
        <w:rPr>
          <w:rFonts w:ascii="Calibri" w:hAnsi="Calibri" w:cs="Calibri"/>
          <w:sz w:val="24"/>
          <w:szCs w:val="24"/>
          <w:lang w:val="id-ID"/>
        </w:rPr>
        <w:t xml:space="preserve"> (nilai impor dilaporkan lebih tinggi dari catatan ekspor di negara asal produk).</w:t>
      </w:r>
    </w:p>
    <w:p w14:paraId="13D7BBED"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“Praktik </w:t>
      </w:r>
      <w:proofErr w:type="spellStart"/>
      <w:r w:rsidRPr="00770A46">
        <w:rPr>
          <w:rFonts w:ascii="Calibri" w:hAnsi="Calibri" w:cs="Calibri"/>
          <w:i/>
          <w:iCs/>
          <w:sz w:val="24"/>
          <w:szCs w:val="24"/>
          <w:lang w:val="id-ID"/>
        </w:rPr>
        <w:t>trade</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dalam impor ini salah satu bentuk dari aliran dana haram (</w:t>
      </w:r>
      <w:proofErr w:type="spellStart"/>
      <w:r w:rsidRPr="00770A46">
        <w:rPr>
          <w:rFonts w:ascii="Calibri" w:hAnsi="Calibri" w:cs="Calibri"/>
          <w:i/>
          <w:iCs/>
          <w:sz w:val="24"/>
          <w:szCs w:val="24"/>
          <w:lang w:val="id-ID"/>
        </w:rPr>
        <w:t>illicit</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financial</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flow</w:t>
      </w:r>
      <w:proofErr w:type="spellEnd"/>
      <w:r w:rsidRPr="00770A46">
        <w:rPr>
          <w:rFonts w:ascii="Calibri" w:hAnsi="Calibri" w:cs="Calibri"/>
          <w:sz w:val="24"/>
          <w:szCs w:val="24"/>
          <w:lang w:val="id-ID"/>
        </w:rPr>
        <w:t>, IFF), yang berpotensi menyebabkan hilangnya penerimaan pajak dalam jumlah sangat besar,” ujarnya di Jakarta, 30 September 2025.</w:t>
      </w:r>
    </w:p>
    <w:p w14:paraId="565131F6"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Lebih lanjut dia mengungkapkan, dari hasil data UN </w:t>
      </w:r>
      <w:proofErr w:type="spellStart"/>
      <w:r w:rsidRPr="00770A46">
        <w:rPr>
          <w:rFonts w:ascii="Calibri" w:hAnsi="Calibri" w:cs="Calibri"/>
          <w:sz w:val="24"/>
          <w:szCs w:val="24"/>
          <w:lang w:val="id-ID"/>
        </w:rPr>
        <w:t>Comtrade</w:t>
      </w:r>
      <w:proofErr w:type="spellEnd"/>
      <w:r w:rsidRPr="00770A46">
        <w:rPr>
          <w:rFonts w:ascii="Calibri" w:hAnsi="Calibri" w:cs="Calibri"/>
          <w:sz w:val="24"/>
          <w:szCs w:val="24"/>
          <w:lang w:val="id-ID"/>
        </w:rPr>
        <w:t xml:space="preserve"> periode 2014–2023, nilai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impor Indonesia mencapai US$720 miliar atau setara dengan Rp10.080 triliun. Konversi tersebut menggunakan rata-rata kurs tengah Bank Indonesia sepanjang periode observasi, Rp14.000 per dolar AS.</w:t>
      </w:r>
    </w:p>
    <w:p w14:paraId="03F6936C"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Sandy menegaskan,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impor, terutama </w:t>
      </w:r>
      <w:proofErr w:type="spellStart"/>
      <w:r w:rsidRPr="00770A46">
        <w:rPr>
          <w:rFonts w:ascii="Calibri" w:hAnsi="Calibri" w:cs="Calibri"/>
          <w:i/>
          <w:iCs/>
          <w:sz w:val="24"/>
          <w:szCs w:val="24"/>
          <w:lang w:val="id-ID"/>
        </w:rPr>
        <w:t>under-invoicing</w:t>
      </w:r>
      <w:proofErr w:type="spellEnd"/>
      <w:r w:rsidRPr="00770A46">
        <w:rPr>
          <w:rFonts w:ascii="Calibri" w:hAnsi="Calibri" w:cs="Calibri"/>
          <w:sz w:val="24"/>
          <w:szCs w:val="24"/>
          <w:lang w:val="id-ID"/>
        </w:rPr>
        <w:t xml:space="preserve">, langsung menggerus potensi penerimaan negara dari bea masuk, Pajak Pertambahan Nilai (PPN), dan Pajak Penghasilan (PPh). Dari dua komoditas saja—telepon pintar (HS 8517) dan minyak olahan (HS 2710)—negara berpotensi kehilangan lebih dari Rp80 triliun pajak dalam satu dekade. </w:t>
      </w:r>
    </w:p>
    <w:p w14:paraId="25823CAD"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“Angka ini bahkan lebih besar daripada Rp60 triliun yang tengah coba ditagih pemerintah dari penunggak pajak dalam negeri,” kata Sandy.</w:t>
      </w:r>
    </w:p>
    <w:p w14:paraId="105E734C"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Berdasarkan regulasi, PPN impor ditetapkan sebesar 11% dari nilai pabean sesuai Peraturan Menteri Keuangan (PMK) No. 131/2024 yang mengatur tentang PPN atas barang kena pajak.  Sedangkan PPh Pasal 22 untuk komoditas telepon dan </w:t>
      </w:r>
      <w:proofErr w:type="spellStart"/>
      <w:r w:rsidRPr="00770A46">
        <w:rPr>
          <w:rFonts w:ascii="Calibri" w:hAnsi="Calibri" w:cs="Calibri"/>
          <w:i/>
          <w:iCs/>
          <w:sz w:val="24"/>
          <w:szCs w:val="24"/>
          <w:lang w:val="id-ID"/>
        </w:rPr>
        <w:t>smartphone</w:t>
      </w:r>
      <w:proofErr w:type="spellEnd"/>
      <w:r w:rsidRPr="00770A46">
        <w:rPr>
          <w:rFonts w:ascii="Calibri" w:hAnsi="Calibri" w:cs="Calibri"/>
          <w:sz w:val="24"/>
          <w:szCs w:val="24"/>
          <w:lang w:val="id-ID"/>
        </w:rPr>
        <w:t xml:space="preserve"> (HS 8517) ditetapkan 10% berdasarkan PMK No. 41/2022 yang mengatur pembayaran atas pajak penyerahan barang impor. </w:t>
      </w:r>
    </w:p>
    <w:p w14:paraId="5E6246C3" w14:textId="7B418CE4"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Sementara sebagian besar komoditas minyak olahan (HS 2710) tidak termasuk objek PPh Pasal 22, sehingga hanya dikenakan PPN. Perhitungan ini menunjukkan potensi kehilangan pajak sebesar Rp64,4 triliun dari HS 8517 dan Rp17,7 triliun dari HS 2710 dalam kurun sepuluh tahun terakhir.</w:t>
      </w:r>
    </w:p>
    <w:p w14:paraId="761D0412" w14:textId="77777777" w:rsidR="00770A46" w:rsidRDefault="00770A46" w:rsidP="00770A46">
      <w:pPr>
        <w:spacing w:after="240"/>
        <w:jc w:val="both"/>
        <w:rPr>
          <w:rFonts w:ascii="Calibri" w:hAnsi="Calibri" w:cs="Calibri"/>
          <w:b/>
          <w:bCs/>
          <w:sz w:val="24"/>
          <w:szCs w:val="24"/>
          <w:lang w:val="id-ID"/>
        </w:rPr>
      </w:pPr>
    </w:p>
    <w:p w14:paraId="4BC85414" w14:textId="376D45D6" w:rsidR="00770A46" w:rsidRPr="00770A46" w:rsidRDefault="00770A46" w:rsidP="00770A46">
      <w:pPr>
        <w:spacing w:after="240"/>
        <w:jc w:val="both"/>
        <w:rPr>
          <w:rFonts w:ascii="Calibri" w:hAnsi="Calibri" w:cs="Calibri"/>
          <w:b/>
          <w:bCs/>
          <w:sz w:val="24"/>
          <w:szCs w:val="24"/>
          <w:lang w:val="id-ID"/>
        </w:rPr>
      </w:pPr>
      <w:r w:rsidRPr="00770A46">
        <w:rPr>
          <w:rFonts w:ascii="Calibri" w:hAnsi="Calibri" w:cs="Calibri"/>
          <w:b/>
          <w:bCs/>
          <w:sz w:val="24"/>
          <w:szCs w:val="24"/>
          <w:lang w:val="id-ID"/>
        </w:rPr>
        <w:t>Sebagian Besar dari Singapura dan Tiongkok</w:t>
      </w:r>
    </w:p>
    <w:p w14:paraId="5F4E60C6"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Sepanjang 10 tahun terakhir, yakni 2014-2023, praktik </w:t>
      </w:r>
      <w:proofErr w:type="spellStart"/>
      <w:r w:rsidRPr="00770A46">
        <w:rPr>
          <w:rFonts w:ascii="Calibri" w:hAnsi="Calibri" w:cs="Calibri"/>
          <w:i/>
          <w:iCs/>
          <w:sz w:val="24"/>
          <w:szCs w:val="24"/>
          <w:lang w:val="id-ID"/>
        </w:rPr>
        <w:t>under-invoicing</w:t>
      </w:r>
      <w:proofErr w:type="spellEnd"/>
      <w:r w:rsidRPr="00770A46">
        <w:rPr>
          <w:rFonts w:ascii="Calibri" w:hAnsi="Calibri" w:cs="Calibri"/>
          <w:sz w:val="24"/>
          <w:szCs w:val="24"/>
          <w:lang w:val="id-ID"/>
        </w:rPr>
        <w:t xml:space="preserve"> terbesar tercatat pada impor dari Singapura (US$139,3 miliar), Tiongkok (US$96,3 miliar), dan </w:t>
      </w:r>
      <w:proofErr w:type="spellStart"/>
      <w:r w:rsidRPr="00770A46">
        <w:rPr>
          <w:rFonts w:ascii="Calibri" w:hAnsi="Calibri" w:cs="Calibri"/>
          <w:sz w:val="24"/>
          <w:szCs w:val="24"/>
          <w:lang w:val="id-ID"/>
        </w:rPr>
        <w:t>Hong</w:t>
      </w:r>
      <w:proofErr w:type="spellEnd"/>
      <w:r w:rsidRPr="00770A46">
        <w:rPr>
          <w:rFonts w:ascii="Calibri" w:hAnsi="Calibri" w:cs="Calibri"/>
          <w:sz w:val="24"/>
          <w:szCs w:val="24"/>
          <w:lang w:val="id-ID"/>
        </w:rPr>
        <w:t xml:space="preserve"> Kong (US$15,4 miliar). Sementara itu, </w:t>
      </w:r>
      <w:r w:rsidRPr="00770A46">
        <w:rPr>
          <w:rFonts w:ascii="Calibri" w:hAnsi="Calibri" w:cs="Calibri"/>
          <w:i/>
          <w:iCs/>
          <w:sz w:val="24"/>
          <w:szCs w:val="24"/>
          <w:lang w:val="id-ID"/>
        </w:rPr>
        <w:t>over-</w:t>
      </w:r>
      <w:proofErr w:type="spellStart"/>
      <w:r w:rsidRPr="00770A46">
        <w:rPr>
          <w:rFonts w:ascii="Calibri" w:hAnsi="Calibri" w:cs="Calibri"/>
          <w:i/>
          <w:iCs/>
          <w:sz w:val="24"/>
          <w:szCs w:val="24"/>
          <w:lang w:val="id-ID"/>
        </w:rPr>
        <w:t>invoicing</w:t>
      </w:r>
      <w:proofErr w:type="spellEnd"/>
      <w:r w:rsidRPr="00770A46">
        <w:rPr>
          <w:rFonts w:ascii="Calibri" w:hAnsi="Calibri" w:cs="Calibri"/>
          <w:sz w:val="24"/>
          <w:szCs w:val="24"/>
          <w:lang w:val="id-ID"/>
        </w:rPr>
        <w:t xml:space="preserve"> impor terbesar ditemukan dalam perdagangan dengan Tiongkok (US$45,8 miliar), Arab Saudi (US$36,9 miliar), dan Amerika Serikat (US$18,2 miliar).</w:t>
      </w:r>
    </w:p>
    <w:p w14:paraId="5CE38024"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Dari sisi komoditas, Sandy </w:t>
      </w:r>
      <w:proofErr w:type="spellStart"/>
      <w:r w:rsidRPr="00770A46">
        <w:rPr>
          <w:rFonts w:ascii="Calibri" w:hAnsi="Calibri" w:cs="Calibri"/>
          <w:sz w:val="24"/>
          <w:szCs w:val="24"/>
          <w:lang w:val="id-ID"/>
        </w:rPr>
        <w:t>Pramuji</w:t>
      </w:r>
      <w:proofErr w:type="spellEnd"/>
      <w:r w:rsidRPr="00770A46">
        <w:rPr>
          <w:rFonts w:ascii="Calibri" w:hAnsi="Calibri" w:cs="Calibri"/>
          <w:sz w:val="24"/>
          <w:szCs w:val="24"/>
          <w:lang w:val="id-ID"/>
        </w:rPr>
        <w:t xml:space="preserve"> mengungkapkan, yang paling rawan terjadi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antara lain </w:t>
      </w:r>
      <w:proofErr w:type="spellStart"/>
      <w:r w:rsidRPr="00770A46">
        <w:rPr>
          <w:rFonts w:ascii="Calibri" w:hAnsi="Calibri" w:cs="Calibri"/>
          <w:i/>
          <w:iCs/>
          <w:sz w:val="24"/>
          <w:szCs w:val="24"/>
          <w:lang w:val="id-ID"/>
        </w:rPr>
        <w:t>smartphone</w:t>
      </w:r>
      <w:proofErr w:type="spellEnd"/>
      <w:r w:rsidRPr="00770A46">
        <w:rPr>
          <w:rFonts w:ascii="Calibri" w:hAnsi="Calibri" w:cs="Calibri"/>
          <w:sz w:val="24"/>
          <w:szCs w:val="24"/>
          <w:lang w:val="id-ID"/>
        </w:rPr>
        <w:t xml:space="preserve"> (HS 8517), minyak olahan (HS 2710), sirkuit elektronik (HS 8542), emas setengah jadi (HS 7108), dan pesawat terbang (HS 8802). Potensi kehilangan pajak pada produk-produk tersebut mencapai puluhan triliun rupiah setiap tahun.</w:t>
      </w:r>
    </w:p>
    <w:p w14:paraId="1EB7DAB8"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Praktik curang dalam pencatatan faktur ini identik dengan perdagangan ilegal, penghindaran pajak (</w:t>
      </w:r>
      <w:proofErr w:type="spellStart"/>
      <w:r w:rsidRPr="00770A46">
        <w:rPr>
          <w:rFonts w:ascii="Calibri" w:hAnsi="Calibri" w:cs="Calibri"/>
          <w:i/>
          <w:iCs/>
          <w:sz w:val="24"/>
          <w:szCs w:val="24"/>
          <w:lang w:val="id-ID"/>
        </w:rPr>
        <w:t>tax</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avoidance</w:t>
      </w:r>
      <w:proofErr w:type="spellEnd"/>
      <w:r w:rsidRPr="00770A46">
        <w:rPr>
          <w:rFonts w:ascii="Calibri" w:hAnsi="Calibri" w:cs="Calibri"/>
          <w:sz w:val="24"/>
          <w:szCs w:val="24"/>
          <w:lang w:val="id-ID"/>
        </w:rPr>
        <w:t>), penggelapan pajak (</w:t>
      </w:r>
      <w:proofErr w:type="spellStart"/>
      <w:r w:rsidRPr="00770A46">
        <w:rPr>
          <w:rFonts w:ascii="Calibri" w:hAnsi="Calibri" w:cs="Calibri"/>
          <w:i/>
          <w:iCs/>
          <w:sz w:val="24"/>
          <w:szCs w:val="24"/>
          <w:lang w:val="id-ID"/>
        </w:rPr>
        <w:t>tax</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evasion</w:t>
      </w:r>
      <w:proofErr w:type="spellEnd"/>
      <w:r w:rsidRPr="00770A46">
        <w:rPr>
          <w:rFonts w:ascii="Calibri" w:hAnsi="Calibri" w:cs="Calibri"/>
          <w:sz w:val="24"/>
          <w:szCs w:val="24"/>
          <w:lang w:val="id-ID"/>
        </w:rPr>
        <w:t>), penyelundupan barang, juga penyembunyian dana hasil kejahatan supaya tidak terdeteksi, alias pencucian uang (</w:t>
      </w:r>
      <w:proofErr w:type="spellStart"/>
      <w:r w:rsidRPr="00770A46">
        <w:rPr>
          <w:rFonts w:ascii="Calibri" w:hAnsi="Calibri" w:cs="Calibri"/>
          <w:i/>
          <w:iCs/>
          <w:sz w:val="24"/>
          <w:szCs w:val="24"/>
          <w:lang w:val="id-ID"/>
        </w:rPr>
        <w:t>money</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laundering</w:t>
      </w:r>
      <w:proofErr w:type="spellEnd"/>
      <w:r w:rsidRPr="00770A46">
        <w:rPr>
          <w:rFonts w:ascii="Calibri" w:hAnsi="Calibri" w:cs="Calibri"/>
          <w:sz w:val="24"/>
          <w:szCs w:val="24"/>
          <w:lang w:val="id-ID"/>
        </w:rPr>
        <w:t>). Praktik ini sering kali bersembunyi di balik transaksi perdagangan atau investasi yang sah, sehingga sulit untuk dilacak dan diukur.</w:t>
      </w:r>
    </w:p>
    <w:p w14:paraId="0E4E7F11"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“Mencegah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impor bukan hanya soal pajak, tapi juga soal menjaga kedaulatan fiskal, stabilitas ekonomi, dan persaingan usaha yang sehat. Pemerintah perlu memperkuat kapasitas bea cukai dan otoritas pajak, mempercepat digitalisasi pabean, meningkatkan audit berbasis risiko, serta memperluas kerja sama internasional,” tambah Sandy.</w:t>
      </w:r>
    </w:p>
    <w:p w14:paraId="746D67D2" w14:textId="77777777" w:rsidR="00770A46" w:rsidRP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Dia juga mengingatkan bahwa praktik </w:t>
      </w:r>
      <w:proofErr w:type="spellStart"/>
      <w:r w:rsidRPr="00770A46">
        <w:rPr>
          <w:rFonts w:ascii="Calibri" w:hAnsi="Calibri" w:cs="Calibri"/>
          <w:i/>
          <w:iCs/>
          <w:sz w:val="24"/>
          <w:szCs w:val="24"/>
          <w:lang w:val="id-ID"/>
        </w:rPr>
        <w:t>trade</w:t>
      </w:r>
      <w:proofErr w:type="spellEnd"/>
      <w:r w:rsidRPr="00770A46">
        <w:rPr>
          <w:rFonts w:ascii="Calibri" w:hAnsi="Calibri" w:cs="Calibri"/>
          <w:i/>
          <w:iCs/>
          <w:sz w:val="24"/>
          <w:szCs w:val="24"/>
          <w:lang w:val="id-ID"/>
        </w:rPr>
        <w:t xml:space="preserve"> </w:t>
      </w:r>
      <w:proofErr w:type="spellStart"/>
      <w:r w:rsidRPr="00770A46">
        <w:rPr>
          <w:rFonts w:ascii="Calibri" w:hAnsi="Calibri" w:cs="Calibri"/>
          <w:i/>
          <w:iCs/>
          <w:sz w:val="24"/>
          <w:szCs w:val="24"/>
          <w:lang w:val="id-ID"/>
        </w:rPr>
        <w:t>misinvoicing</w:t>
      </w:r>
      <w:proofErr w:type="spellEnd"/>
      <w:r w:rsidRPr="00770A46">
        <w:rPr>
          <w:rFonts w:ascii="Calibri" w:hAnsi="Calibri" w:cs="Calibri"/>
          <w:sz w:val="24"/>
          <w:szCs w:val="24"/>
          <w:lang w:val="id-ID"/>
        </w:rPr>
        <w:t xml:space="preserve"> tidak boleh dianggap remeh. Tanpa langkah tegas dan sistematis, kebocoran penerimaan negara akan terus terjadi, melemahkan daya saing ekonomi nasional, dan menggerogoti ruang fiskal yang seharusnya digunakan untuk pembangunan.</w:t>
      </w:r>
    </w:p>
    <w:p w14:paraId="2434C96B" w14:textId="1CC6EFCE" w:rsidR="00770A46" w:rsidRDefault="00770A46" w:rsidP="00770A46">
      <w:pPr>
        <w:spacing w:after="240"/>
        <w:jc w:val="both"/>
        <w:rPr>
          <w:rFonts w:ascii="Calibri" w:hAnsi="Calibri" w:cs="Calibri"/>
          <w:sz w:val="24"/>
          <w:szCs w:val="24"/>
          <w:lang w:val="id-ID"/>
        </w:rPr>
      </w:pPr>
    </w:p>
    <w:p w14:paraId="16EA77BF" w14:textId="3C009FEC" w:rsidR="00770A46" w:rsidRDefault="00770A46" w:rsidP="00770A46">
      <w:pPr>
        <w:spacing w:after="240"/>
        <w:jc w:val="both"/>
        <w:rPr>
          <w:rFonts w:ascii="Calibri" w:hAnsi="Calibri" w:cs="Calibri"/>
          <w:sz w:val="24"/>
          <w:szCs w:val="24"/>
          <w:lang w:val="id-ID"/>
        </w:rPr>
      </w:pPr>
    </w:p>
    <w:p w14:paraId="7F03E9C9" w14:textId="542CC80B" w:rsidR="00770A46" w:rsidRDefault="00770A46" w:rsidP="00770A46">
      <w:pPr>
        <w:spacing w:after="240"/>
        <w:jc w:val="both"/>
        <w:rPr>
          <w:rFonts w:ascii="Calibri" w:hAnsi="Calibri" w:cs="Calibri"/>
          <w:sz w:val="24"/>
          <w:szCs w:val="24"/>
          <w:lang w:val="id-ID"/>
        </w:rPr>
      </w:pPr>
    </w:p>
    <w:p w14:paraId="550329EF" w14:textId="756C8ACA" w:rsidR="00770A46" w:rsidRDefault="00770A46" w:rsidP="00770A46">
      <w:pPr>
        <w:spacing w:after="240"/>
        <w:jc w:val="both"/>
        <w:rPr>
          <w:rFonts w:ascii="Calibri" w:hAnsi="Calibri" w:cs="Calibri"/>
          <w:sz w:val="24"/>
          <w:szCs w:val="24"/>
          <w:lang w:val="id-ID"/>
        </w:rPr>
      </w:pPr>
    </w:p>
    <w:p w14:paraId="601566D6" w14:textId="3016F889" w:rsidR="00770A46" w:rsidRDefault="00770A46" w:rsidP="00770A46">
      <w:pPr>
        <w:spacing w:after="240"/>
        <w:jc w:val="both"/>
        <w:rPr>
          <w:rFonts w:ascii="Calibri" w:hAnsi="Calibri" w:cs="Calibri"/>
          <w:sz w:val="24"/>
          <w:szCs w:val="24"/>
          <w:lang w:val="id-ID"/>
        </w:rPr>
      </w:pPr>
    </w:p>
    <w:p w14:paraId="7C495C9C" w14:textId="2572B965" w:rsidR="00770A46" w:rsidRDefault="00770A46" w:rsidP="00770A46">
      <w:pPr>
        <w:spacing w:after="240"/>
        <w:jc w:val="both"/>
        <w:rPr>
          <w:rFonts w:ascii="Calibri" w:hAnsi="Calibri" w:cs="Calibri"/>
          <w:sz w:val="24"/>
          <w:szCs w:val="24"/>
          <w:lang w:val="id-ID"/>
        </w:rPr>
      </w:pPr>
    </w:p>
    <w:p w14:paraId="3D3F20BF" w14:textId="39D81D0C" w:rsidR="00770A46" w:rsidRDefault="00770A46" w:rsidP="00770A46">
      <w:pPr>
        <w:spacing w:after="240"/>
        <w:jc w:val="both"/>
        <w:rPr>
          <w:rFonts w:ascii="Calibri" w:hAnsi="Calibri" w:cs="Calibri"/>
          <w:sz w:val="24"/>
          <w:szCs w:val="24"/>
          <w:lang w:val="id-ID"/>
        </w:rPr>
      </w:pPr>
    </w:p>
    <w:p w14:paraId="32DF3126" w14:textId="77777777" w:rsidR="00770A46" w:rsidRPr="00770A46" w:rsidRDefault="00770A46" w:rsidP="00770A46">
      <w:pPr>
        <w:spacing w:after="240"/>
        <w:jc w:val="both"/>
        <w:rPr>
          <w:rFonts w:ascii="Calibri" w:hAnsi="Calibri" w:cs="Calibri"/>
          <w:sz w:val="24"/>
          <w:szCs w:val="24"/>
          <w:lang w:val="id-ID"/>
        </w:rPr>
      </w:pPr>
    </w:p>
    <w:p w14:paraId="181FD787" w14:textId="77777777" w:rsidR="00770A46" w:rsidRPr="00770A46" w:rsidRDefault="00770A46" w:rsidP="00770A46">
      <w:pPr>
        <w:spacing w:after="240"/>
        <w:jc w:val="both"/>
        <w:rPr>
          <w:rFonts w:ascii="Calibri" w:hAnsi="Calibri" w:cs="Calibri"/>
          <w:b/>
          <w:bCs/>
          <w:sz w:val="24"/>
          <w:szCs w:val="24"/>
          <w:u w:val="single"/>
          <w:lang w:val="id-ID"/>
        </w:rPr>
      </w:pPr>
      <w:r w:rsidRPr="00770A46">
        <w:rPr>
          <w:rFonts w:ascii="Calibri" w:hAnsi="Calibri" w:cs="Calibri"/>
          <w:b/>
          <w:bCs/>
          <w:sz w:val="24"/>
          <w:szCs w:val="24"/>
          <w:u w:val="single"/>
          <w:lang w:val="id-ID"/>
        </w:rPr>
        <w:t>LAMPIRAN</w:t>
      </w:r>
    </w:p>
    <w:p w14:paraId="189C1EBA" w14:textId="77777777" w:rsidR="00770A46" w:rsidRPr="00770A46" w:rsidRDefault="00770A46" w:rsidP="00770A46">
      <w:pPr>
        <w:jc w:val="center"/>
        <w:rPr>
          <w:rFonts w:ascii="Calibri" w:hAnsi="Calibri" w:cs="Calibri"/>
          <w:b/>
          <w:bCs/>
          <w:sz w:val="24"/>
          <w:szCs w:val="24"/>
          <w:lang w:val="id-ID"/>
        </w:rPr>
      </w:pPr>
      <w:r w:rsidRPr="00770A46">
        <w:rPr>
          <w:rFonts w:ascii="Calibri" w:hAnsi="Calibri" w:cs="Calibri"/>
          <w:b/>
          <w:bCs/>
          <w:sz w:val="24"/>
          <w:szCs w:val="24"/>
          <w:lang w:val="id-ID"/>
        </w:rPr>
        <w:t xml:space="preserve">10 Negara dengan Nilai </w:t>
      </w:r>
      <w:proofErr w:type="spellStart"/>
      <w:r w:rsidRPr="00770A46">
        <w:rPr>
          <w:rFonts w:ascii="Calibri" w:hAnsi="Calibri" w:cs="Calibri"/>
          <w:b/>
          <w:bCs/>
          <w:i/>
          <w:iCs/>
          <w:sz w:val="24"/>
          <w:szCs w:val="24"/>
          <w:lang w:val="id-ID"/>
        </w:rPr>
        <w:t>Misinvoicing</w:t>
      </w:r>
      <w:proofErr w:type="spellEnd"/>
      <w:r w:rsidRPr="00770A46">
        <w:rPr>
          <w:rFonts w:ascii="Calibri" w:hAnsi="Calibri" w:cs="Calibri"/>
          <w:b/>
          <w:bCs/>
          <w:sz w:val="24"/>
          <w:szCs w:val="24"/>
          <w:lang w:val="id-ID"/>
        </w:rPr>
        <w:t xml:space="preserve"> Impor Terbesar</w:t>
      </w:r>
    </w:p>
    <w:p w14:paraId="38538064" w14:textId="77777777" w:rsidR="00770A46" w:rsidRPr="00770A46" w:rsidRDefault="00770A46" w:rsidP="00770A46">
      <w:pPr>
        <w:jc w:val="center"/>
        <w:rPr>
          <w:rFonts w:ascii="Calibri" w:hAnsi="Calibri" w:cs="Calibri"/>
          <w:b/>
          <w:bCs/>
          <w:sz w:val="24"/>
          <w:szCs w:val="24"/>
          <w:lang w:val="id-ID"/>
        </w:rPr>
      </w:pPr>
      <w:r w:rsidRPr="00770A46">
        <w:rPr>
          <w:rFonts w:ascii="Calibri" w:hAnsi="Calibri" w:cs="Calibri"/>
          <w:b/>
          <w:bCs/>
          <w:sz w:val="24"/>
          <w:szCs w:val="24"/>
          <w:lang w:val="id-ID"/>
        </w:rPr>
        <w:t>(2014-2023)</w:t>
      </w:r>
    </w:p>
    <w:p w14:paraId="7671465B" w14:textId="77777777" w:rsidR="00770A46" w:rsidRPr="00770A46" w:rsidRDefault="00770A46" w:rsidP="00770A46">
      <w:pPr>
        <w:jc w:val="both"/>
        <w:rPr>
          <w:rFonts w:ascii="Calibri" w:hAnsi="Calibri" w:cs="Calibri"/>
          <w:b/>
          <w:bCs/>
          <w:sz w:val="24"/>
          <w:szCs w:val="24"/>
          <w:lang w:val="id-ID"/>
        </w:rPr>
      </w:pPr>
    </w:p>
    <w:tbl>
      <w:tblPr>
        <w:tblStyle w:val="TableGrid"/>
        <w:tblW w:w="8217" w:type="dxa"/>
        <w:tblLook w:val="04A0" w:firstRow="1" w:lastRow="0" w:firstColumn="1" w:lastColumn="0" w:noHBand="0" w:noVBand="1"/>
      </w:tblPr>
      <w:tblGrid>
        <w:gridCol w:w="1838"/>
        <w:gridCol w:w="2268"/>
        <w:gridCol w:w="1843"/>
        <w:gridCol w:w="2268"/>
      </w:tblGrid>
      <w:tr w:rsidR="00770A46" w:rsidRPr="00770A46" w14:paraId="77E18FBB" w14:textId="77777777" w:rsidTr="00776DDE">
        <w:trPr>
          <w:trHeight w:val="285"/>
        </w:trPr>
        <w:tc>
          <w:tcPr>
            <w:tcW w:w="1838" w:type="dxa"/>
            <w:vAlign w:val="center"/>
            <w:hideMark/>
          </w:tcPr>
          <w:p w14:paraId="72A4FC94"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Negara</w:t>
            </w:r>
          </w:p>
        </w:tc>
        <w:tc>
          <w:tcPr>
            <w:tcW w:w="2268" w:type="dxa"/>
            <w:vAlign w:val="center"/>
            <w:hideMark/>
          </w:tcPr>
          <w:p w14:paraId="3E7AACC8"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 xml:space="preserve">Nilai </w:t>
            </w:r>
            <w:proofErr w:type="spellStart"/>
            <w:r w:rsidRPr="00770A46">
              <w:rPr>
                <w:rFonts w:ascii="Calibri" w:hAnsi="Calibri" w:cs="Calibri"/>
                <w:b/>
                <w:bCs/>
                <w:i/>
                <w:iCs/>
                <w:sz w:val="24"/>
                <w:szCs w:val="24"/>
                <w:lang w:val="id-ID"/>
              </w:rPr>
              <w:t>Under-Invoicing</w:t>
            </w:r>
            <w:proofErr w:type="spellEnd"/>
          </w:p>
          <w:p w14:paraId="0343479B"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(US$ Miliar)</w:t>
            </w:r>
          </w:p>
        </w:tc>
        <w:tc>
          <w:tcPr>
            <w:tcW w:w="1843" w:type="dxa"/>
            <w:vAlign w:val="center"/>
          </w:tcPr>
          <w:p w14:paraId="471EBBB5"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Negara</w:t>
            </w:r>
          </w:p>
        </w:tc>
        <w:tc>
          <w:tcPr>
            <w:tcW w:w="2268" w:type="dxa"/>
            <w:vAlign w:val="center"/>
          </w:tcPr>
          <w:p w14:paraId="0113E3A7"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 xml:space="preserve">Nilai </w:t>
            </w:r>
            <w:r w:rsidRPr="00770A46">
              <w:rPr>
                <w:rFonts w:ascii="Calibri" w:hAnsi="Calibri" w:cs="Calibri"/>
                <w:b/>
                <w:bCs/>
                <w:i/>
                <w:iCs/>
                <w:sz w:val="24"/>
                <w:szCs w:val="24"/>
                <w:lang w:val="id-ID"/>
              </w:rPr>
              <w:t>Over-</w:t>
            </w:r>
            <w:proofErr w:type="spellStart"/>
            <w:r w:rsidRPr="00770A46">
              <w:rPr>
                <w:rFonts w:ascii="Calibri" w:hAnsi="Calibri" w:cs="Calibri"/>
                <w:b/>
                <w:bCs/>
                <w:i/>
                <w:iCs/>
                <w:sz w:val="24"/>
                <w:szCs w:val="24"/>
                <w:lang w:val="id-ID"/>
              </w:rPr>
              <w:t>Invoicing</w:t>
            </w:r>
            <w:proofErr w:type="spellEnd"/>
          </w:p>
          <w:p w14:paraId="7311406D" w14:textId="77777777" w:rsidR="00770A46" w:rsidRPr="00770A46" w:rsidRDefault="00770A46" w:rsidP="00776DDE">
            <w:pPr>
              <w:jc w:val="center"/>
              <w:rPr>
                <w:rFonts w:ascii="Calibri" w:hAnsi="Calibri" w:cs="Calibri"/>
                <w:b/>
                <w:bCs/>
                <w:sz w:val="24"/>
                <w:szCs w:val="24"/>
                <w:lang w:val="id-ID"/>
              </w:rPr>
            </w:pPr>
            <w:r w:rsidRPr="00770A46">
              <w:rPr>
                <w:rFonts w:ascii="Calibri" w:hAnsi="Calibri" w:cs="Calibri"/>
                <w:b/>
                <w:bCs/>
                <w:sz w:val="24"/>
                <w:szCs w:val="24"/>
                <w:lang w:val="id-ID"/>
              </w:rPr>
              <w:t>(US$ Miliar</w:t>
            </w:r>
            <w:r w:rsidRPr="00770A46">
              <w:rPr>
                <w:rFonts w:ascii="Calibri" w:hAnsi="Calibri" w:cs="Calibri"/>
                <w:sz w:val="24"/>
                <w:szCs w:val="24"/>
                <w:lang w:val="id-ID"/>
              </w:rPr>
              <w:t>)</w:t>
            </w:r>
          </w:p>
        </w:tc>
      </w:tr>
      <w:tr w:rsidR="00770A46" w:rsidRPr="00770A46" w14:paraId="793EE365" w14:textId="77777777" w:rsidTr="00776DDE">
        <w:trPr>
          <w:trHeight w:val="285"/>
        </w:trPr>
        <w:tc>
          <w:tcPr>
            <w:tcW w:w="1838" w:type="dxa"/>
            <w:noWrap/>
            <w:hideMark/>
          </w:tcPr>
          <w:p w14:paraId="2353E129"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Singapura</w:t>
            </w:r>
          </w:p>
        </w:tc>
        <w:tc>
          <w:tcPr>
            <w:tcW w:w="2268" w:type="dxa"/>
            <w:noWrap/>
            <w:hideMark/>
          </w:tcPr>
          <w:p w14:paraId="63F1AED8"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139,3 </w:t>
            </w:r>
          </w:p>
        </w:tc>
        <w:tc>
          <w:tcPr>
            <w:tcW w:w="1843" w:type="dxa"/>
          </w:tcPr>
          <w:p w14:paraId="49CD8336"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Tiongkok</w:t>
            </w:r>
          </w:p>
        </w:tc>
        <w:tc>
          <w:tcPr>
            <w:tcW w:w="2268" w:type="dxa"/>
            <w:vAlign w:val="center"/>
          </w:tcPr>
          <w:p w14:paraId="6C2F9A49"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45,8</w:t>
            </w:r>
          </w:p>
        </w:tc>
      </w:tr>
      <w:tr w:rsidR="00770A46" w:rsidRPr="00770A46" w14:paraId="5AFCCAAD" w14:textId="77777777" w:rsidTr="00776DDE">
        <w:trPr>
          <w:trHeight w:val="285"/>
        </w:trPr>
        <w:tc>
          <w:tcPr>
            <w:tcW w:w="1838" w:type="dxa"/>
            <w:noWrap/>
            <w:hideMark/>
          </w:tcPr>
          <w:p w14:paraId="7CA683B6"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Tiongkok</w:t>
            </w:r>
          </w:p>
        </w:tc>
        <w:tc>
          <w:tcPr>
            <w:tcW w:w="2268" w:type="dxa"/>
            <w:noWrap/>
            <w:hideMark/>
          </w:tcPr>
          <w:p w14:paraId="1B17DE39"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96,3 </w:t>
            </w:r>
          </w:p>
        </w:tc>
        <w:tc>
          <w:tcPr>
            <w:tcW w:w="1843" w:type="dxa"/>
          </w:tcPr>
          <w:p w14:paraId="7DB4E2FB"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Arab Saudi</w:t>
            </w:r>
          </w:p>
        </w:tc>
        <w:tc>
          <w:tcPr>
            <w:tcW w:w="2268" w:type="dxa"/>
            <w:vAlign w:val="center"/>
          </w:tcPr>
          <w:p w14:paraId="1F74B2D1"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36,9</w:t>
            </w:r>
          </w:p>
        </w:tc>
      </w:tr>
      <w:tr w:rsidR="00770A46" w:rsidRPr="00770A46" w14:paraId="7A8328CE" w14:textId="77777777" w:rsidTr="00776DDE">
        <w:trPr>
          <w:trHeight w:val="285"/>
        </w:trPr>
        <w:tc>
          <w:tcPr>
            <w:tcW w:w="1838" w:type="dxa"/>
            <w:noWrap/>
            <w:hideMark/>
          </w:tcPr>
          <w:p w14:paraId="2EF82504" w14:textId="77777777" w:rsidR="00770A46" w:rsidRPr="00770A46" w:rsidRDefault="00770A46" w:rsidP="00776DDE">
            <w:pPr>
              <w:jc w:val="both"/>
              <w:rPr>
                <w:rFonts w:ascii="Calibri" w:hAnsi="Calibri" w:cs="Calibri"/>
                <w:sz w:val="24"/>
                <w:szCs w:val="24"/>
                <w:lang w:val="id-ID"/>
              </w:rPr>
            </w:pPr>
            <w:proofErr w:type="spellStart"/>
            <w:r w:rsidRPr="00770A46">
              <w:rPr>
                <w:rFonts w:ascii="Calibri" w:hAnsi="Calibri" w:cs="Calibri"/>
                <w:sz w:val="24"/>
                <w:szCs w:val="24"/>
                <w:lang w:val="id-ID"/>
              </w:rPr>
              <w:t>Hong</w:t>
            </w:r>
            <w:proofErr w:type="spellEnd"/>
            <w:r w:rsidRPr="00770A46">
              <w:rPr>
                <w:rFonts w:ascii="Calibri" w:hAnsi="Calibri" w:cs="Calibri"/>
                <w:sz w:val="24"/>
                <w:szCs w:val="24"/>
                <w:lang w:val="id-ID"/>
              </w:rPr>
              <w:t xml:space="preserve"> Kong</w:t>
            </w:r>
          </w:p>
        </w:tc>
        <w:tc>
          <w:tcPr>
            <w:tcW w:w="2268" w:type="dxa"/>
            <w:noWrap/>
            <w:hideMark/>
          </w:tcPr>
          <w:p w14:paraId="00B0DFF3"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15,4 </w:t>
            </w:r>
          </w:p>
        </w:tc>
        <w:tc>
          <w:tcPr>
            <w:tcW w:w="1843" w:type="dxa"/>
          </w:tcPr>
          <w:p w14:paraId="1C8C2A6C"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Amerika Serikat</w:t>
            </w:r>
          </w:p>
        </w:tc>
        <w:tc>
          <w:tcPr>
            <w:tcW w:w="2268" w:type="dxa"/>
            <w:vAlign w:val="center"/>
          </w:tcPr>
          <w:p w14:paraId="48442D1A"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18,2</w:t>
            </w:r>
          </w:p>
        </w:tc>
      </w:tr>
      <w:tr w:rsidR="00770A46" w:rsidRPr="00770A46" w14:paraId="71F141D8" w14:textId="77777777" w:rsidTr="00776DDE">
        <w:trPr>
          <w:trHeight w:val="285"/>
        </w:trPr>
        <w:tc>
          <w:tcPr>
            <w:tcW w:w="1838" w:type="dxa"/>
            <w:noWrap/>
            <w:hideMark/>
          </w:tcPr>
          <w:p w14:paraId="14C14DA4"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Amerika Serikat</w:t>
            </w:r>
          </w:p>
        </w:tc>
        <w:tc>
          <w:tcPr>
            <w:tcW w:w="2268" w:type="dxa"/>
            <w:noWrap/>
            <w:hideMark/>
          </w:tcPr>
          <w:p w14:paraId="56CC4825"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13,0 </w:t>
            </w:r>
          </w:p>
        </w:tc>
        <w:tc>
          <w:tcPr>
            <w:tcW w:w="1843" w:type="dxa"/>
          </w:tcPr>
          <w:p w14:paraId="75F89CCA"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Jepang</w:t>
            </w:r>
          </w:p>
        </w:tc>
        <w:tc>
          <w:tcPr>
            <w:tcW w:w="2268" w:type="dxa"/>
            <w:vAlign w:val="center"/>
          </w:tcPr>
          <w:p w14:paraId="5DA3DA0E"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17,9</w:t>
            </w:r>
          </w:p>
        </w:tc>
      </w:tr>
      <w:tr w:rsidR="00770A46" w:rsidRPr="00770A46" w14:paraId="61001260" w14:textId="77777777" w:rsidTr="00776DDE">
        <w:trPr>
          <w:trHeight w:val="285"/>
        </w:trPr>
        <w:tc>
          <w:tcPr>
            <w:tcW w:w="1838" w:type="dxa"/>
            <w:noWrap/>
            <w:hideMark/>
          </w:tcPr>
          <w:p w14:paraId="4F77F7D9"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Malaysia</w:t>
            </w:r>
          </w:p>
        </w:tc>
        <w:tc>
          <w:tcPr>
            <w:tcW w:w="2268" w:type="dxa"/>
            <w:noWrap/>
            <w:hideMark/>
          </w:tcPr>
          <w:p w14:paraId="486C2DC0"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12,8 </w:t>
            </w:r>
          </w:p>
        </w:tc>
        <w:tc>
          <w:tcPr>
            <w:tcW w:w="1843" w:type="dxa"/>
          </w:tcPr>
          <w:p w14:paraId="79240A7E"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Uni Emirat Arab</w:t>
            </w:r>
          </w:p>
        </w:tc>
        <w:tc>
          <w:tcPr>
            <w:tcW w:w="2268" w:type="dxa"/>
            <w:vAlign w:val="center"/>
          </w:tcPr>
          <w:p w14:paraId="76B38B9E"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16,1</w:t>
            </w:r>
          </w:p>
        </w:tc>
      </w:tr>
      <w:tr w:rsidR="00770A46" w:rsidRPr="00770A46" w14:paraId="40C3B5B1" w14:textId="77777777" w:rsidTr="00776DDE">
        <w:trPr>
          <w:trHeight w:val="285"/>
        </w:trPr>
        <w:tc>
          <w:tcPr>
            <w:tcW w:w="1838" w:type="dxa"/>
            <w:noWrap/>
            <w:hideMark/>
          </w:tcPr>
          <w:p w14:paraId="5ACDCEF4"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India</w:t>
            </w:r>
          </w:p>
        </w:tc>
        <w:tc>
          <w:tcPr>
            <w:tcW w:w="2268" w:type="dxa"/>
            <w:noWrap/>
            <w:hideMark/>
          </w:tcPr>
          <w:p w14:paraId="24895DEE"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12,4 </w:t>
            </w:r>
          </w:p>
        </w:tc>
        <w:tc>
          <w:tcPr>
            <w:tcW w:w="1843" w:type="dxa"/>
          </w:tcPr>
          <w:p w14:paraId="44E52D88"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Australia</w:t>
            </w:r>
          </w:p>
        </w:tc>
        <w:tc>
          <w:tcPr>
            <w:tcW w:w="2268" w:type="dxa"/>
            <w:vAlign w:val="center"/>
          </w:tcPr>
          <w:p w14:paraId="27108B7B"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12,5</w:t>
            </w:r>
          </w:p>
        </w:tc>
      </w:tr>
      <w:tr w:rsidR="00770A46" w:rsidRPr="00770A46" w14:paraId="6D23E053" w14:textId="77777777" w:rsidTr="00776DDE">
        <w:trPr>
          <w:trHeight w:val="285"/>
        </w:trPr>
        <w:tc>
          <w:tcPr>
            <w:tcW w:w="1838" w:type="dxa"/>
            <w:noWrap/>
            <w:hideMark/>
          </w:tcPr>
          <w:p w14:paraId="2F1E1022"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Thailand</w:t>
            </w:r>
          </w:p>
        </w:tc>
        <w:tc>
          <w:tcPr>
            <w:tcW w:w="2268" w:type="dxa"/>
            <w:noWrap/>
            <w:hideMark/>
          </w:tcPr>
          <w:p w14:paraId="2F5DB11C"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10,6 </w:t>
            </w:r>
          </w:p>
        </w:tc>
        <w:tc>
          <w:tcPr>
            <w:tcW w:w="1843" w:type="dxa"/>
          </w:tcPr>
          <w:p w14:paraId="386040F6"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Korea Selatan</w:t>
            </w:r>
          </w:p>
        </w:tc>
        <w:tc>
          <w:tcPr>
            <w:tcW w:w="2268" w:type="dxa"/>
            <w:vAlign w:val="center"/>
          </w:tcPr>
          <w:p w14:paraId="5FA8E346"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10,7</w:t>
            </w:r>
          </w:p>
        </w:tc>
      </w:tr>
      <w:tr w:rsidR="00770A46" w:rsidRPr="00770A46" w14:paraId="1673E38B" w14:textId="77777777" w:rsidTr="00776DDE">
        <w:trPr>
          <w:trHeight w:val="285"/>
        </w:trPr>
        <w:tc>
          <w:tcPr>
            <w:tcW w:w="1838" w:type="dxa"/>
            <w:noWrap/>
            <w:hideMark/>
          </w:tcPr>
          <w:p w14:paraId="1461BF93"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Jepang</w:t>
            </w:r>
          </w:p>
        </w:tc>
        <w:tc>
          <w:tcPr>
            <w:tcW w:w="2268" w:type="dxa"/>
            <w:noWrap/>
            <w:hideMark/>
          </w:tcPr>
          <w:p w14:paraId="04FF21C7"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10,4 </w:t>
            </w:r>
          </w:p>
        </w:tc>
        <w:tc>
          <w:tcPr>
            <w:tcW w:w="1843" w:type="dxa"/>
          </w:tcPr>
          <w:p w14:paraId="4ABF8BAF"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Malaysia</w:t>
            </w:r>
          </w:p>
        </w:tc>
        <w:tc>
          <w:tcPr>
            <w:tcW w:w="2268" w:type="dxa"/>
            <w:vAlign w:val="center"/>
          </w:tcPr>
          <w:p w14:paraId="315EA1DA"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10,2</w:t>
            </w:r>
          </w:p>
        </w:tc>
      </w:tr>
      <w:tr w:rsidR="00770A46" w:rsidRPr="00770A46" w14:paraId="4559C811" w14:textId="77777777" w:rsidTr="00776DDE">
        <w:trPr>
          <w:trHeight w:val="285"/>
        </w:trPr>
        <w:tc>
          <w:tcPr>
            <w:tcW w:w="1838" w:type="dxa"/>
            <w:noWrap/>
            <w:hideMark/>
          </w:tcPr>
          <w:p w14:paraId="76ECF993"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Prancis</w:t>
            </w:r>
          </w:p>
        </w:tc>
        <w:tc>
          <w:tcPr>
            <w:tcW w:w="2268" w:type="dxa"/>
            <w:noWrap/>
            <w:hideMark/>
          </w:tcPr>
          <w:p w14:paraId="7C2F7170"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10,0 </w:t>
            </w:r>
          </w:p>
        </w:tc>
        <w:tc>
          <w:tcPr>
            <w:tcW w:w="1843" w:type="dxa"/>
          </w:tcPr>
          <w:p w14:paraId="431FCB66"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Jerman</w:t>
            </w:r>
          </w:p>
        </w:tc>
        <w:tc>
          <w:tcPr>
            <w:tcW w:w="2268" w:type="dxa"/>
            <w:vAlign w:val="center"/>
          </w:tcPr>
          <w:p w14:paraId="35CAEFAE"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9,1</w:t>
            </w:r>
          </w:p>
        </w:tc>
      </w:tr>
      <w:tr w:rsidR="00770A46" w:rsidRPr="00770A46" w14:paraId="13104408" w14:textId="77777777" w:rsidTr="00776DDE">
        <w:trPr>
          <w:trHeight w:val="285"/>
        </w:trPr>
        <w:tc>
          <w:tcPr>
            <w:tcW w:w="1838" w:type="dxa"/>
            <w:noWrap/>
            <w:hideMark/>
          </w:tcPr>
          <w:p w14:paraId="205D168F"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Korea Selatan</w:t>
            </w:r>
          </w:p>
        </w:tc>
        <w:tc>
          <w:tcPr>
            <w:tcW w:w="2268" w:type="dxa"/>
            <w:noWrap/>
            <w:hideMark/>
          </w:tcPr>
          <w:p w14:paraId="2E373262"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9,7 </w:t>
            </w:r>
          </w:p>
        </w:tc>
        <w:tc>
          <w:tcPr>
            <w:tcW w:w="1843" w:type="dxa"/>
          </w:tcPr>
          <w:p w14:paraId="1694A98E"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Rusia</w:t>
            </w:r>
          </w:p>
        </w:tc>
        <w:tc>
          <w:tcPr>
            <w:tcW w:w="2268" w:type="dxa"/>
            <w:vAlign w:val="center"/>
          </w:tcPr>
          <w:p w14:paraId="603958CB"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8,9</w:t>
            </w:r>
          </w:p>
        </w:tc>
      </w:tr>
      <w:tr w:rsidR="00770A46" w:rsidRPr="00770A46" w14:paraId="233404B8" w14:textId="77777777" w:rsidTr="00776DDE">
        <w:trPr>
          <w:trHeight w:val="285"/>
        </w:trPr>
        <w:tc>
          <w:tcPr>
            <w:tcW w:w="1838" w:type="dxa"/>
            <w:noWrap/>
            <w:hideMark/>
          </w:tcPr>
          <w:p w14:paraId="720EAA0A"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Lainnya</w:t>
            </w:r>
          </w:p>
        </w:tc>
        <w:tc>
          <w:tcPr>
            <w:tcW w:w="2268" w:type="dxa"/>
            <w:noWrap/>
            <w:hideMark/>
          </w:tcPr>
          <w:p w14:paraId="379E383F"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68,3 </w:t>
            </w:r>
          </w:p>
        </w:tc>
        <w:tc>
          <w:tcPr>
            <w:tcW w:w="1843" w:type="dxa"/>
          </w:tcPr>
          <w:p w14:paraId="4BE0910B"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Lainnya</w:t>
            </w:r>
          </w:p>
        </w:tc>
        <w:tc>
          <w:tcPr>
            <w:tcW w:w="2268" w:type="dxa"/>
            <w:vAlign w:val="center"/>
          </w:tcPr>
          <w:p w14:paraId="012929C4"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135,4</w:t>
            </w:r>
          </w:p>
        </w:tc>
      </w:tr>
      <w:tr w:rsidR="00770A46" w:rsidRPr="00770A46" w14:paraId="146509E0" w14:textId="77777777" w:rsidTr="00776DDE">
        <w:trPr>
          <w:trHeight w:val="285"/>
        </w:trPr>
        <w:tc>
          <w:tcPr>
            <w:tcW w:w="1838" w:type="dxa"/>
            <w:noWrap/>
            <w:hideMark/>
          </w:tcPr>
          <w:p w14:paraId="1DA5C962" w14:textId="77777777" w:rsidR="00770A46" w:rsidRPr="00770A46" w:rsidRDefault="00770A46" w:rsidP="00776DDE">
            <w:pPr>
              <w:jc w:val="both"/>
              <w:rPr>
                <w:rFonts w:ascii="Calibri" w:hAnsi="Calibri" w:cs="Calibri"/>
                <w:sz w:val="24"/>
                <w:szCs w:val="24"/>
                <w:lang w:val="id-ID"/>
              </w:rPr>
            </w:pPr>
            <w:r w:rsidRPr="00770A46">
              <w:rPr>
                <w:rFonts w:ascii="Calibri" w:hAnsi="Calibri" w:cs="Calibri"/>
                <w:sz w:val="24"/>
                <w:szCs w:val="24"/>
                <w:lang w:val="id-ID"/>
              </w:rPr>
              <w:t>Total</w:t>
            </w:r>
          </w:p>
        </w:tc>
        <w:tc>
          <w:tcPr>
            <w:tcW w:w="2268" w:type="dxa"/>
            <w:noWrap/>
            <w:hideMark/>
          </w:tcPr>
          <w:p w14:paraId="7C2B7EF7"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 xml:space="preserve">              398,2 </w:t>
            </w:r>
          </w:p>
        </w:tc>
        <w:tc>
          <w:tcPr>
            <w:tcW w:w="1843" w:type="dxa"/>
          </w:tcPr>
          <w:p w14:paraId="2BB2C16E" w14:textId="77777777" w:rsidR="00770A46" w:rsidRPr="00770A46" w:rsidRDefault="00770A46" w:rsidP="00776DDE">
            <w:pPr>
              <w:rPr>
                <w:rFonts w:ascii="Calibri" w:hAnsi="Calibri" w:cs="Calibri"/>
                <w:sz w:val="24"/>
                <w:szCs w:val="24"/>
                <w:lang w:val="id-ID"/>
              </w:rPr>
            </w:pPr>
            <w:r w:rsidRPr="00770A46">
              <w:rPr>
                <w:rFonts w:ascii="Calibri" w:hAnsi="Calibri" w:cs="Calibri"/>
                <w:sz w:val="24"/>
                <w:szCs w:val="24"/>
                <w:lang w:val="id-ID"/>
              </w:rPr>
              <w:t>Total</w:t>
            </w:r>
          </w:p>
        </w:tc>
        <w:tc>
          <w:tcPr>
            <w:tcW w:w="2268" w:type="dxa"/>
            <w:vAlign w:val="center"/>
          </w:tcPr>
          <w:p w14:paraId="03B36637" w14:textId="77777777" w:rsidR="00770A46" w:rsidRPr="00770A46" w:rsidRDefault="00770A46" w:rsidP="00776DDE">
            <w:pPr>
              <w:jc w:val="right"/>
              <w:rPr>
                <w:rFonts w:ascii="Calibri" w:hAnsi="Calibri" w:cs="Calibri"/>
                <w:sz w:val="24"/>
                <w:szCs w:val="24"/>
                <w:lang w:val="id-ID"/>
              </w:rPr>
            </w:pPr>
            <w:r w:rsidRPr="00770A46">
              <w:rPr>
                <w:rFonts w:ascii="Calibri" w:hAnsi="Calibri" w:cs="Calibri"/>
                <w:sz w:val="24"/>
                <w:szCs w:val="24"/>
                <w:lang w:val="id-ID"/>
              </w:rPr>
              <w:t>321,8</w:t>
            </w:r>
          </w:p>
        </w:tc>
      </w:tr>
    </w:tbl>
    <w:p w14:paraId="35DA1B93" w14:textId="68BD3C13" w:rsidR="00770A46" w:rsidRDefault="00770A46" w:rsidP="00770A46">
      <w:pPr>
        <w:spacing w:after="240"/>
        <w:jc w:val="both"/>
        <w:rPr>
          <w:rFonts w:ascii="Calibri" w:hAnsi="Calibri" w:cs="Calibri"/>
          <w:sz w:val="24"/>
          <w:szCs w:val="24"/>
          <w:lang w:val="id-ID"/>
        </w:rPr>
      </w:pPr>
      <w:r w:rsidRPr="00770A46">
        <w:rPr>
          <w:rFonts w:ascii="Calibri" w:hAnsi="Calibri" w:cs="Calibri"/>
          <w:sz w:val="24"/>
          <w:szCs w:val="24"/>
          <w:lang w:val="id-ID"/>
        </w:rPr>
        <w:t xml:space="preserve">Sumber: NEXT Indonesia mengolah data UN </w:t>
      </w:r>
      <w:proofErr w:type="spellStart"/>
      <w:r w:rsidRPr="00770A46">
        <w:rPr>
          <w:rFonts w:ascii="Calibri" w:hAnsi="Calibri" w:cs="Calibri"/>
          <w:sz w:val="24"/>
          <w:szCs w:val="24"/>
          <w:lang w:val="id-ID"/>
        </w:rPr>
        <w:t>Comtrade</w:t>
      </w:r>
      <w:proofErr w:type="spellEnd"/>
    </w:p>
    <w:p w14:paraId="3EB6A687" w14:textId="001F6C07" w:rsidR="00770A46" w:rsidRDefault="00770A46" w:rsidP="00770A46">
      <w:pPr>
        <w:spacing w:after="240"/>
        <w:jc w:val="both"/>
        <w:rPr>
          <w:rFonts w:ascii="Calibri" w:hAnsi="Calibri" w:cs="Calibri"/>
          <w:sz w:val="24"/>
          <w:szCs w:val="24"/>
          <w:lang w:val="id-ID"/>
        </w:rPr>
      </w:pPr>
    </w:p>
    <w:p w14:paraId="507FF9FF" w14:textId="58A680FB" w:rsidR="00770A46" w:rsidRDefault="00770A46" w:rsidP="00770A46">
      <w:pPr>
        <w:spacing w:after="240"/>
        <w:jc w:val="both"/>
        <w:rPr>
          <w:rFonts w:ascii="Calibri" w:hAnsi="Calibri" w:cs="Calibri"/>
          <w:sz w:val="24"/>
          <w:szCs w:val="24"/>
          <w:lang w:val="id-ID"/>
        </w:rPr>
      </w:pPr>
    </w:p>
    <w:p w14:paraId="06AF0124" w14:textId="02CB8166" w:rsidR="00770A46" w:rsidRDefault="00770A46" w:rsidP="00770A46">
      <w:pPr>
        <w:spacing w:after="240"/>
        <w:jc w:val="both"/>
        <w:rPr>
          <w:rFonts w:ascii="Calibri" w:hAnsi="Calibri" w:cs="Calibri"/>
          <w:sz w:val="24"/>
          <w:szCs w:val="24"/>
          <w:lang w:val="id-ID"/>
        </w:rPr>
      </w:pPr>
    </w:p>
    <w:p w14:paraId="542FC5D3" w14:textId="47C50A18" w:rsidR="00770A46" w:rsidRDefault="00770A46" w:rsidP="00770A46">
      <w:pPr>
        <w:spacing w:after="240"/>
        <w:jc w:val="both"/>
        <w:rPr>
          <w:rFonts w:ascii="Calibri" w:hAnsi="Calibri" w:cs="Calibri"/>
          <w:sz w:val="24"/>
          <w:szCs w:val="24"/>
          <w:lang w:val="id-ID"/>
        </w:rPr>
      </w:pPr>
    </w:p>
    <w:p w14:paraId="6D210E69" w14:textId="2832CE3A" w:rsidR="00770A46" w:rsidRDefault="00770A46" w:rsidP="00770A46">
      <w:pPr>
        <w:spacing w:after="240"/>
        <w:jc w:val="both"/>
        <w:rPr>
          <w:rFonts w:ascii="Calibri" w:hAnsi="Calibri" w:cs="Calibri"/>
          <w:sz w:val="24"/>
          <w:szCs w:val="24"/>
          <w:lang w:val="id-ID"/>
        </w:rPr>
      </w:pPr>
    </w:p>
    <w:p w14:paraId="401E591E" w14:textId="77777777" w:rsidR="00770A46" w:rsidRPr="00770A46" w:rsidRDefault="00770A46" w:rsidP="00770A46">
      <w:pPr>
        <w:spacing w:after="240"/>
        <w:jc w:val="both"/>
        <w:rPr>
          <w:rFonts w:ascii="Calibri" w:hAnsi="Calibri" w:cs="Calibri"/>
          <w:sz w:val="24"/>
          <w:szCs w:val="24"/>
          <w:lang w:val="id-ID"/>
        </w:rPr>
      </w:pPr>
    </w:p>
    <w:p w14:paraId="77C29D43" w14:textId="58EDCCE4" w:rsidR="00770A46" w:rsidRPr="00770A46" w:rsidRDefault="00770A46" w:rsidP="00770A46">
      <w:pPr>
        <w:spacing w:after="80"/>
        <w:rPr>
          <w:rFonts w:ascii="Cambria" w:hAnsi="Cambria"/>
          <w:sz w:val="24"/>
          <w:szCs w:val="24"/>
          <w:lang w:val="id-ID"/>
        </w:rPr>
      </w:pPr>
      <w:r w:rsidRPr="00770A46">
        <w:rPr>
          <w:rFonts w:ascii="Cambria" w:hAnsi="Cambria"/>
          <w:sz w:val="24"/>
          <w:szCs w:val="24"/>
          <w:lang w:val="id-ID"/>
        </w:rPr>
        <w:t>-----------------------------------------------------------------------------------------------------------------</w:t>
      </w:r>
    </w:p>
    <w:p w14:paraId="00180E14" w14:textId="77777777" w:rsidR="00770A46" w:rsidRPr="00770A46" w:rsidRDefault="00770A46" w:rsidP="00770A46">
      <w:pPr>
        <w:spacing w:after="80"/>
        <w:rPr>
          <w:rFonts w:ascii="Calibri" w:hAnsi="Calibri" w:cs="Calibri"/>
          <w:b/>
          <w:bCs/>
          <w:sz w:val="24"/>
          <w:szCs w:val="24"/>
          <w:lang w:val="id-ID"/>
        </w:rPr>
      </w:pPr>
      <w:r w:rsidRPr="00770A46">
        <w:rPr>
          <w:rFonts w:ascii="Calibri" w:hAnsi="Calibri" w:cs="Calibri"/>
          <w:b/>
          <w:bCs/>
          <w:sz w:val="24"/>
          <w:szCs w:val="24"/>
          <w:lang w:val="id-ID"/>
        </w:rPr>
        <w:t>NEXT Indonesia Center</w:t>
      </w:r>
    </w:p>
    <w:p w14:paraId="35E0B6C2" w14:textId="77777777" w:rsidR="00770A46" w:rsidRPr="00770A46" w:rsidRDefault="00770A46" w:rsidP="00770A46">
      <w:pPr>
        <w:spacing w:after="80"/>
        <w:jc w:val="both"/>
        <w:rPr>
          <w:rFonts w:ascii="Calibri" w:hAnsi="Calibri" w:cs="Calibri"/>
          <w:sz w:val="24"/>
          <w:szCs w:val="24"/>
          <w:lang w:val="id-ID"/>
        </w:rPr>
      </w:pPr>
      <w:r w:rsidRPr="00770A46">
        <w:rPr>
          <w:rFonts w:ascii="Calibri" w:hAnsi="Calibri" w:cs="Calibri"/>
          <w:sz w:val="24"/>
          <w:szCs w:val="24"/>
          <w:lang w:val="id-ID"/>
        </w:rPr>
        <w:t xml:space="preserve">NEXT Indonesia Center adalah lembaga independen dengan konsentrasi di bidang riset dan publikasi. Kami menggabungkan disiplin jurnalistik sebagai penyajian dan disiplin akademik sebagai panduan dalam melakukan riset. </w:t>
      </w:r>
    </w:p>
    <w:p w14:paraId="08D011BD" w14:textId="77777777" w:rsidR="00770A46" w:rsidRPr="00770A46" w:rsidRDefault="00770A46" w:rsidP="00770A46">
      <w:pPr>
        <w:spacing w:after="80"/>
        <w:jc w:val="both"/>
        <w:rPr>
          <w:rFonts w:ascii="Calibri" w:hAnsi="Calibri" w:cs="Calibri"/>
          <w:sz w:val="24"/>
          <w:szCs w:val="24"/>
          <w:lang w:val="id-ID"/>
        </w:rPr>
      </w:pPr>
      <w:r w:rsidRPr="00770A46">
        <w:rPr>
          <w:rFonts w:ascii="Calibri" w:hAnsi="Calibri" w:cs="Calibri"/>
          <w:sz w:val="24"/>
          <w:szCs w:val="24"/>
          <w:lang w:val="id-ID"/>
        </w:rPr>
        <w:t>Konsentrasi kegiatan riset dan publikasi kami, terutama di bidang ekonomi, sosial</w:t>
      </w:r>
      <w:r w:rsidRPr="00770A46">
        <w:rPr>
          <w:rFonts w:ascii="Calibri" w:hAnsi="Calibri" w:cs="Calibri"/>
          <w:sz w:val="24"/>
          <w:szCs w:val="24"/>
        </w:rPr>
        <w:t xml:space="preserve"> </w:t>
      </w:r>
      <w:r w:rsidRPr="00770A46">
        <w:rPr>
          <w:rFonts w:ascii="Calibri" w:hAnsi="Calibri" w:cs="Calibri"/>
          <w:sz w:val="24"/>
          <w:szCs w:val="24"/>
          <w:lang w:val="id-ID"/>
        </w:rPr>
        <w:t>dan kebijakan publik. Kami membantu para pemangku kepentingan agar lebih tepat dalam mengambil kebijakan strategis, baik untuk organisasi pemerintah, korporasi, organisasi masyarakat sipil, maupun lembaga lain dan individu.</w:t>
      </w:r>
    </w:p>
    <w:p w14:paraId="314537EF" w14:textId="77777777" w:rsidR="00770A46" w:rsidRPr="00770A46" w:rsidRDefault="00770A46" w:rsidP="00770A46">
      <w:pPr>
        <w:spacing w:after="80"/>
        <w:rPr>
          <w:rFonts w:ascii="Calibri" w:hAnsi="Calibri" w:cs="Calibri"/>
          <w:b/>
          <w:sz w:val="24"/>
          <w:szCs w:val="24"/>
          <w:lang w:val="en-ID"/>
        </w:rPr>
      </w:pPr>
      <w:proofErr w:type="spellStart"/>
      <w:r w:rsidRPr="00770A46">
        <w:rPr>
          <w:rFonts w:ascii="Calibri" w:hAnsi="Calibri" w:cs="Calibri"/>
          <w:b/>
          <w:sz w:val="24"/>
          <w:szCs w:val="24"/>
          <w:lang w:val="en-ID"/>
        </w:rPr>
        <w:t>Narahubung</w:t>
      </w:r>
      <w:proofErr w:type="spellEnd"/>
      <w:r w:rsidRPr="00770A46">
        <w:rPr>
          <w:rFonts w:ascii="Calibri" w:hAnsi="Calibri" w:cs="Calibri"/>
          <w:b/>
          <w:sz w:val="24"/>
          <w:szCs w:val="24"/>
          <w:lang w:val="en-ID"/>
        </w:rPr>
        <w:t>:</w:t>
      </w:r>
    </w:p>
    <w:p w14:paraId="477F8F1C" w14:textId="77777777" w:rsidR="00770A46" w:rsidRPr="00770A46" w:rsidRDefault="00770A46" w:rsidP="00770A46">
      <w:pPr>
        <w:spacing w:after="80"/>
        <w:rPr>
          <w:rFonts w:ascii="Calibri" w:hAnsi="Calibri" w:cs="Calibri"/>
          <w:sz w:val="24"/>
          <w:szCs w:val="24"/>
          <w:lang w:val="en-ID"/>
        </w:rPr>
      </w:pPr>
      <w:r w:rsidRPr="00770A46">
        <w:rPr>
          <w:rFonts w:ascii="Calibri" w:hAnsi="Calibri" w:cs="Calibri"/>
          <w:sz w:val="24"/>
          <w:szCs w:val="24"/>
          <w:lang w:val="en-ID"/>
        </w:rPr>
        <w:t xml:space="preserve">Research Coordinator Next Indonesia </w:t>
      </w:r>
      <w:proofErr w:type="spellStart"/>
      <w:r w:rsidRPr="00770A46">
        <w:rPr>
          <w:rFonts w:ascii="Calibri" w:hAnsi="Calibri" w:cs="Calibri"/>
          <w:sz w:val="24"/>
          <w:szCs w:val="24"/>
          <w:lang w:val="en-ID"/>
        </w:rPr>
        <w:t>Center</w:t>
      </w:r>
      <w:proofErr w:type="spellEnd"/>
      <w:r w:rsidRPr="00770A46">
        <w:rPr>
          <w:rFonts w:ascii="Calibri" w:hAnsi="Calibri" w:cs="Calibri"/>
          <w:sz w:val="24"/>
          <w:szCs w:val="24"/>
          <w:lang w:val="en-ID"/>
        </w:rPr>
        <w:t>,</w:t>
      </w:r>
    </w:p>
    <w:p w14:paraId="03A2035C" w14:textId="77777777" w:rsidR="00770A46" w:rsidRPr="00770A46" w:rsidRDefault="00770A46" w:rsidP="00770A46">
      <w:pPr>
        <w:spacing w:after="80"/>
        <w:rPr>
          <w:rFonts w:ascii="Calibri" w:hAnsi="Calibri" w:cs="Calibri"/>
          <w:sz w:val="24"/>
          <w:szCs w:val="24"/>
          <w:lang w:val="en-ID"/>
        </w:rPr>
      </w:pPr>
      <w:r w:rsidRPr="00770A46">
        <w:rPr>
          <w:rFonts w:ascii="Calibri" w:hAnsi="Calibri" w:cs="Calibri"/>
          <w:sz w:val="24"/>
          <w:szCs w:val="24"/>
          <w:lang w:val="en-ID"/>
        </w:rPr>
        <w:t xml:space="preserve">Phone: </w:t>
      </w:r>
      <w:hyperlink r:id="rId6" w:history="1">
        <w:r w:rsidRPr="00770A46">
          <w:rPr>
            <w:rStyle w:val="Hyperlink"/>
            <w:rFonts w:ascii="Calibri" w:hAnsi="Calibri" w:cs="Calibri"/>
            <w:sz w:val="24"/>
            <w:szCs w:val="24"/>
          </w:rPr>
          <w:t>+62 823-1016-5120</w:t>
        </w:r>
      </w:hyperlink>
    </w:p>
    <w:p w14:paraId="7967A042" w14:textId="77777777" w:rsidR="00770A46" w:rsidRPr="00770A46" w:rsidRDefault="00770A46" w:rsidP="00770A46">
      <w:pPr>
        <w:spacing w:line="240" w:lineRule="auto"/>
        <w:jc w:val="both"/>
        <w:rPr>
          <w:rFonts w:ascii="Calibri" w:eastAsia="Calibri" w:hAnsi="Calibri" w:cs="Calibri"/>
          <w:sz w:val="24"/>
          <w:szCs w:val="24"/>
          <w:lang w:val="id-ID"/>
        </w:rPr>
      </w:pPr>
    </w:p>
    <w:p w14:paraId="177BFAE4" w14:textId="77777777" w:rsidR="00770A46" w:rsidRPr="00770A46" w:rsidRDefault="00770A46" w:rsidP="00770A46">
      <w:pPr>
        <w:rPr>
          <w:sz w:val="24"/>
          <w:szCs w:val="24"/>
        </w:rPr>
      </w:pPr>
    </w:p>
    <w:p w14:paraId="0A54BA7F" w14:textId="77777777" w:rsidR="00770A46" w:rsidRPr="00770A46" w:rsidRDefault="00770A46" w:rsidP="00770A46">
      <w:pPr>
        <w:rPr>
          <w:sz w:val="24"/>
          <w:szCs w:val="24"/>
        </w:rPr>
      </w:pPr>
    </w:p>
    <w:p w14:paraId="6F83606B" w14:textId="77777777" w:rsidR="00770A46" w:rsidRPr="00770A46" w:rsidRDefault="00770A46" w:rsidP="00770A46">
      <w:pPr>
        <w:rPr>
          <w:sz w:val="24"/>
          <w:szCs w:val="24"/>
        </w:rPr>
      </w:pPr>
    </w:p>
    <w:p w14:paraId="4CF02EC2" w14:textId="77777777" w:rsidR="00182598" w:rsidRPr="00770A46" w:rsidRDefault="00182598">
      <w:pPr>
        <w:rPr>
          <w:sz w:val="24"/>
          <w:szCs w:val="24"/>
        </w:rPr>
      </w:pPr>
    </w:p>
    <w:sectPr w:rsidR="00182598" w:rsidRPr="00770A46" w:rsidSect="007E3513">
      <w:headerReference w:type="default" r:id="rId7"/>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910DA" w14:textId="77777777" w:rsidR="00264377" w:rsidRDefault="00264377" w:rsidP="00770A46">
      <w:pPr>
        <w:spacing w:after="0" w:line="240" w:lineRule="auto"/>
      </w:pPr>
      <w:r>
        <w:separator/>
      </w:r>
    </w:p>
  </w:endnote>
  <w:endnote w:type="continuationSeparator" w:id="0">
    <w:p w14:paraId="4EF326E6" w14:textId="77777777" w:rsidR="00264377" w:rsidRDefault="00264377" w:rsidP="0077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DF3FC" w14:textId="77777777" w:rsidR="00264377" w:rsidRDefault="00264377" w:rsidP="00770A46">
      <w:pPr>
        <w:spacing w:after="0" w:line="240" w:lineRule="auto"/>
      </w:pPr>
      <w:r>
        <w:separator/>
      </w:r>
    </w:p>
  </w:footnote>
  <w:footnote w:type="continuationSeparator" w:id="0">
    <w:p w14:paraId="2B920CC4" w14:textId="77777777" w:rsidR="00264377" w:rsidRDefault="00264377" w:rsidP="0077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D140" w14:textId="77777777" w:rsidR="00562DDA" w:rsidRPr="00562DDA" w:rsidRDefault="00264377" w:rsidP="00562DDA">
    <w:pPr>
      <w:pStyle w:val="Header"/>
      <w:jc w:val="right"/>
      <w:rPr>
        <w:b/>
        <w:bCs/>
        <w:sz w:val="18"/>
        <w:szCs w:val="18"/>
      </w:rPr>
    </w:pPr>
    <w:r>
      <w:rPr>
        <w:noProof/>
      </w:rPr>
      <w:drawing>
        <wp:anchor distT="0" distB="0" distL="114300" distR="114300" simplePos="0" relativeHeight="251659264" behindDoc="0" locked="0" layoutInCell="1" allowOverlap="1" wp14:anchorId="24300513" wp14:editId="613F6AB7">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6C6638C6" w14:textId="77777777" w:rsidR="00562DDA" w:rsidRPr="00562DDA" w:rsidRDefault="00264377"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289CEA6F" w14:textId="22F64AD2" w:rsidR="00562DDA" w:rsidRDefault="00264377" w:rsidP="00562DDA">
    <w:pPr>
      <w:pStyle w:val="Header"/>
      <w:jc w:val="right"/>
    </w:pPr>
    <w:proofErr w:type="spellStart"/>
    <w:r>
      <w:rPr>
        <w:sz w:val="18"/>
        <w:szCs w:val="18"/>
      </w:rPr>
      <w:t>S</w:t>
    </w:r>
    <w:r w:rsidR="00770A46">
      <w:rPr>
        <w:sz w:val="18"/>
        <w:szCs w:val="18"/>
      </w:rPr>
      <w:t>elasa</w:t>
    </w:r>
    <w:proofErr w:type="spellEnd"/>
    <w:r w:rsidR="00770A46">
      <w:rPr>
        <w:sz w:val="18"/>
        <w:szCs w:val="18"/>
      </w:rPr>
      <w:t>,</w:t>
    </w:r>
    <w:r w:rsidRPr="00562DDA">
      <w:rPr>
        <w:sz w:val="18"/>
        <w:szCs w:val="18"/>
      </w:rPr>
      <w:t xml:space="preserve"> </w:t>
    </w:r>
    <w:r w:rsidR="00770A46">
      <w:rPr>
        <w:sz w:val="18"/>
        <w:szCs w:val="18"/>
      </w:rPr>
      <w:t>30</w:t>
    </w:r>
    <w:r>
      <w:rPr>
        <w:sz w:val="18"/>
        <w:szCs w:val="18"/>
      </w:rPr>
      <w:t xml:space="preserve"> September</w:t>
    </w:r>
    <w:r w:rsidRPr="00562DDA">
      <w:rPr>
        <w:sz w:val="18"/>
        <w:szCs w:val="18"/>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46"/>
    <w:rsid w:val="00182598"/>
    <w:rsid w:val="00264377"/>
    <w:rsid w:val="00770A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2300935"/>
  <w15:chartTrackingRefBased/>
  <w15:docId w15:val="{5C502D39-5CE5-AE4D-91D4-204559D1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46"/>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46"/>
    <w:rPr>
      <w:kern w:val="2"/>
      <w:sz w:val="22"/>
      <w:szCs w:val="22"/>
      <w:lang w:val="en-US"/>
      <w14:ligatures w14:val="standardContextual"/>
    </w:rPr>
  </w:style>
  <w:style w:type="character" w:styleId="Hyperlink">
    <w:name w:val="Hyperlink"/>
    <w:basedOn w:val="DefaultParagraphFont"/>
    <w:uiPriority w:val="99"/>
    <w:unhideWhenUsed/>
    <w:rsid w:val="00770A46"/>
    <w:rPr>
      <w:color w:val="0563C1" w:themeColor="hyperlink"/>
      <w:u w:val="single"/>
    </w:rPr>
  </w:style>
  <w:style w:type="paragraph" w:styleId="BodyText">
    <w:name w:val="Body Text"/>
    <w:basedOn w:val="Normal"/>
    <w:link w:val="BodyTextChar"/>
    <w:qFormat/>
    <w:rsid w:val="00770A46"/>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rsid w:val="00770A46"/>
    <w:rPr>
      <w:lang w:val="en"/>
    </w:rPr>
  </w:style>
  <w:style w:type="paragraph" w:customStyle="1" w:styleId="FirstParagraph">
    <w:name w:val="First Paragraph"/>
    <w:basedOn w:val="BodyText"/>
    <w:next w:val="BodyText"/>
    <w:qFormat/>
    <w:rsid w:val="00770A46"/>
  </w:style>
  <w:style w:type="table" w:styleId="TableGrid">
    <w:name w:val="Table Grid"/>
    <w:basedOn w:val="TableNormal"/>
    <w:uiPriority w:val="39"/>
    <w:rsid w:val="00770A46"/>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0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46"/>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to:+012(345)678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2025-09-29T14:04:00Z</dcterms:created>
  <dcterms:modified xsi:type="dcterms:W3CDTF">2025-09-29T14:14:00Z</dcterms:modified>
</cp:coreProperties>
</file>